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附件5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bookmarkStart w:id="0" w:name="_GoBack"/>
      <w:bookmarkEnd w:id="0"/>
    </w:p>
    <w:p>
      <w:pPr>
        <w:spacing w:line="700" w:lineRule="exact"/>
        <w:jc w:val="center"/>
        <w:rPr>
          <w:rFonts w:hint="eastAsia" w:ascii="方正小标宋简体" w:hAnsi="宋体" w:eastAsia="方正小标宋简体" w:cs="宋体"/>
          <w:kern w:val="0"/>
          <w:sz w:val="44"/>
          <w:szCs w:val="44"/>
          <w:lang w:val="en-US" w:eastAsia="zh-CN"/>
        </w:rPr>
      </w:pPr>
      <w:r>
        <w:rPr>
          <w:rFonts w:hint="eastAsia" w:ascii="方正小标宋简体" w:hAnsi="宋体" w:eastAsia="方正小标宋简体" w:cs="宋体"/>
          <w:kern w:val="0"/>
          <w:sz w:val="44"/>
          <w:szCs w:val="44"/>
          <w:lang w:val="en-US" w:eastAsia="zh-CN"/>
        </w:rPr>
        <w:t>个人所得税App添加个人养老金扣除功能操作流程</w:t>
      </w:r>
    </w:p>
    <w:p>
      <w:pPr>
        <w:ind w:firstLine="640" w:firstLineChars="200"/>
        <w:rPr>
          <w:rFonts w:hint="eastAsia" w:ascii="仿宋_gb2312" w:hAnsi="仿宋_gb2312" w:eastAsia="仿宋_gb2312" w:cs="仿宋_gb2312"/>
          <w:b w:val="0"/>
          <w:color w:val="2A2F35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color w:val="2A2F35"/>
          <w:sz w:val="32"/>
          <w:szCs w:val="32"/>
          <w:lang w:val="en-US" w:eastAsia="zh-CN"/>
        </w:rPr>
        <w:t>1.将</w:t>
      </w:r>
      <w:r>
        <w:rPr>
          <w:rFonts w:hint="eastAsia" w:ascii="仿宋_gb2312" w:hAnsi="仿宋_gb2312" w:eastAsia="仿宋_gb2312" w:cs="仿宋_gb2312"/>
          <w:b w:val="0"/>
          <w:color w:val="2A2F35"/>
          <w:sz w:val="32"/>
          <w:szCs w:val="32"/>
          <w:lang w:eastAsia="zh-CN"/>
        </w:rPr>
        <w:t>个人所得税App下载</w:t>
      </w:r>
      <w:r>
        <w:rPr>
          <w:rFonts w:hint="eastAsia" w:ascii="仿宋_gb2312" w:hAnsi="仿宋_gb2312" w:eastAsia="仿宋_gb2312" w:cs="仿宋_gb2312"/>
          <w:b/>
          <w:bCs/>
          <w:color w:val="2A2F35"/>
          <w:sz w:val="32"/>
          <w:szCs w:val="32"/>
          <w:lang w:eastAsia="zh-CN"/>
        </w:rPr>
        <w:t>更新至1.8.9版</w:t>
      </w:r>
      <w:r>
        <w:rPr>
          <w:rFonts w:hint="eastAsia" w:ascii="仿宋_gb2312" w:hAnsi="仿宋_gb2312" w:eastAsia="仿宋_gb2312" w:cs="仿宋_gb2312"/>
          <w:b w:val="0"/>
          <w:color w:val="2A2F35"/>
          <w:sz w:val="32"/>
          <w:szCs w:val="32"/>
          <w:lang w:val="en-US" w:eastAsia="zh-CN"/>
        </w:rPr>
        <w:t>后，</w:t>
      </w:r>
      <w:r>
        <w:rPr>
          <w:rFonts w:hint="eastAsia" w:ascii="仿宋_gb2312" w:hAnsi="仿宋_gb2312" w:eastAsia="仿宋_gb2312" w:cs="仿宋_gb2312"/>
          <w:b w:val="0"/>
          <w:color w:val="2A2F35"/>
          <w:sz w:val="32"/>
          <w:szCs w:val="32"/>
          <w:lang w:eastAsia="zh-CN"/>
        </w:rPr>
        <w:t>打开个人所得税App对常用业务进行管理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color w:val="2A2F35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591560" cy="6201410"/>
            <wp:effectExtent l="0" t="0" r="889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91560" cy="620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_gb2312" w:eastAsia="仿宋_gb2312" w:cs="仿宋_gb2312"/>
          <w:b w:val="0"/>
          <w:color w:val="2A2F35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color w:val="2A2F35"/>
          <w:sz w:val="32"/>
          <w:szCs w:val="32"/>
          <w:lang w:val="en-US" w:eastAsia="zh-CN"/>
        </w:rPr>
        <w:t>2.点击</w:t>
      </w:r>
      <w:r>
        <w:rPr>
          <w:rFonts w:hint="eastAsia" w:ascii="仿宋_gb2312" w:hAnsi="仿宋_gb2312" w:eastAsia="仿宋_gb2312" w:cs="仿宋_gb2312"/>
          <w:b/>
          <w:bCs/>
          <w:color w:val="2A2F35"/>
          <w:sz w:val="32"/>
          <w:szCs w:val="32"/>
          <w:lang w:val="en-US" w:eastAsia="zh-CN"/>
        </w:rPr>
        <w:t>“管理”</w:t>
      </w:r>
      <w:r>
        <w:rPr>
          <w:rFonts w:hint="eastAsia" w:ascii="仿宋_gb2312" w:hAnsi="仿宋_gb2312" w:eastAsia="仿宋_gb2312" w:cs="仿宋_gb2312"/>
          <w:b w:val="0"/>
          <w:color w:val="2A2F35"/>
          <w:sz w:val="32"/>
          <w:szCs w:val="32"/>
          <w:lang w:val="en-US" w:eastAsia="zh-CN"/>
        </w:rPr>
        <w:t>按钮，进入常用业务管理页面；再点击</w:t>
      </w:r>
      <w:r>
        <w:rPr>
          <w:rFonts w:hint="eastAsia" w:ascii="仿宋_gb2312" w:hAnsi="仿宋_gb2312" w:eastAsia="仿宋_gb2312" w:cs="仿宋_gb2312"/>
          <w:b/>
          <w:bCs/>
          <w:color w:val="2A2F35"/>
          <w:sz w:val="32"/>
          <w:szCs w:val="32"/>
          <w:lang w:val="en-US" w:eastAsia="zh-CN"/>
        </w:rPr>
        <w:t>“更多业务”</w:t>
      </w:r>
      <w:r>
        <w:rPr>
          <w:rFonts w:hint="eastAsia" w:ascii="仿宋_gb2312" w:hAnsi="仿宋_gb2312" w:eastAsia="仿宋_gb2312" w:cs="仿宋_gb2312"/>
          <w:b w:val="0"/>
          <w:color w:val="2A2F35"/>
          <w:sz w:val="32"/>
          <w:szCs w:val="32"/>
          <w:lang w:val="en-US" w:eastAsia="zh-CN"/>
        </w:rPr>
        <w:t>项下的“个人养老金扣除信息管理”前面的符号</w:t>
      </w:r>
      <w:r>
        <w:rPr>
          <w:rFonts w:hint="eastAsia" w:ascii="仿宋_gb2312" w:hAnsi="仿宋_gb2312" w:eastAsia="仿宋_gb2312" w:cs="仿宋_gb2312"/>
          <w:b/>
          <w:bCs/>
          <w:color w:val="2A2F35"/>
          <w:sz w:val="32"/>
          <w:szCs w:val="32"/>
          <w:lang w:val="en-US" w:eastAsia="zh-CN"/>
        </w:rPr>
        <w:t>“ + ”</w:t>
      </w:r>
      <w:r>
        <w:rPr>
          <w:rFonts w:hint="eastAsia" w:ascii="仿宋_gb2312" w:hAnsi="仿宋_gb2312" w:eastAsia="仿宋_gb2312" w:cs="仿宋_gb2312"/>
          <w:b w:val="0"/>
          <w:color w:val="2A2F35"/>
          <w:sz w:val="32"/>
          <w:szCs w:val="32"/>
          <w:lang w:val="en-US" w:eastAsia="zh-CN"/>
        </w:rPr>
        <w:t>，添加至“当前常用业务”。然后，再点击右上角的</w:t>
      </w:r>
      <w:r>
        <w:rPr>
          <w:rFonts w:hint="eastAsia" w:ascii="仿宋_gb2312" w:hAnsi="仿宋_gb2312" w:eastAsia="仿宋_gb2312" w:cs="仿宋_gb2312"/>
          <w:b/>
          <w:bCs/>
          <w:color w:val="2A2F35"/>
          <w:sz w:val="32"/>
          <w:szCs w:val="32"/>
          <w:lang w:val="en-US" w:eastAsia="zh-CN"/>
        </w:rPr>
        <w:t>“保存”</w:t>
      </w:r>
      <w:r>
        <w:rPr>
          <w:rFonts w:hint="eastAsia" w:ascii="仿宋_gb2312" w:hAnsi="仿宋_gb2312" w:eastAsia="仿宋_gb2312" w:cs="仿宋_gb2312"/>
          <w:b w:val="0"/>
          <w:color w:val="2A2F35"/>
          <w:sz w:val="32"/>
          <w:szCs w:val="32"/>
          <w:lang w:val="en-US" w:eastAsia="zh-CN"/>
        </w:rPr>
        <w:t>按钮。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856480" cy="4775835"/>
            <wp:effectExtent l="0" t="0" r="127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56480" cy="477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04770" cy="2155190"/>
            <wp:effectExtent l="0" t="0" r="508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ind w:firstLine="640" w:firstLineChars="200"/>
        <w:rPr>
          <w:rFonts w:hint="eastAsia" w:ascii="仿宋_gb2312" w:hAnsi="仿宋_gb2312" w:eastAsia="仿宋_gb2312" w:cs="仿宋_gb2312"/>
          <w:b w:val="0"/>
          <w:color w:val="2A2F35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color w:val="2A2F35"/>
          <w:sz w:val="32"/>
          <w:szCs w:val="32"/>
          <w:lang w:val="en-US" w:eastAsia="zh-CN"/>
        </w:rPr>
        <w:t>3.返回</w:t>
      </w:r>
      <w:r>
        <w:rPr>
          <w:rFonts w:hint="eastAsia" w:ascii="仿宋_gb2312" w:hAnsi="仿宋_gb2312" w:eastAsia="仿宋_gb2312" w:cs="仿宋_gb2312"/>
          <w:b/>
          <w:bCs/>
          <w:color w:val="2A2F35"/>
          <w:sz w:val="32"/>
          <w:szCs w:val="32"/>
          <w:lang w:val="en-US" w:eastAsia="zh-CN"/>
        </w:rPr>
        <w:t>“常用业务”</w:t>
      </w:r>
      <w:r>
        <w:rPr>
          <w:rFonts w:hint="eastAsia" w:ascii="仿宋_gb2312" w:hAnsi="仿宋_gb2312" w:eastAsia="仿宋_gb2312" w:cs="仿宋_gb2312"/>
          <w:b w:val="0"/>
          <w:color w:val="2A2F35"/>
          <w:sz w:val="32"/>
          <w:szCs w:val="32"/>
          <w:lang w:val="en-US" w:eastAsia="zh-CN"/>
        </w:rPr>
        <w:t>管理页面，点击“常用业务”项下的</w:t>
      </w:r>
      <w:r>
        <w:rPr>
          <w:rFonts w:hint="eastAsia" w:ascii="仿宋_gb2312" w:hAnsi="仿宋_gb2312" w:eastAsia="仿宋_gb2312" w:cs="仿宋_gb2312"/>
          <w:b/>
          <w:bCs/>
          <w:color w:val="2A2F35"/>
          <w:sz w:val="32"/>
          <w:szCs w:val="32"/>
          <w:lang w:val="en-US" w:eastAsia="zh-CN"/>
        </w:rPr>
        <w:t>“个人养老金扣除信息管理”</w:t>
      </w:r>
      <w:r>
        <w:rPr>
          <w:rFonts w:hint="eastAsia" w:ascii="仿宋_gb2312" w:hAnsi="仿宋_gb2312" w:eastAsia="仿宋_gb2312" w:cs="仿宋_gb2312"/>
          <w:b w:val="0"/>
          <w:color w:val="2A2F35"/>
          <w:sz w:val="32"/>
          <w:szCs w:val="32"/>
          <w:lang w:val="en-US" w:eastAsia="zh-CN"/>
        </w:rPr>
        <w:t>字样。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4498340" cy="7644130"/>
            <wp:effectExtent l="0" t="0" r="1651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8340" cy="764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ind w:firstLine="640" w:firstLineChars="200"/>
        <w:rPr>
          <w:rFonts w:hint="eastAsia" w:ascii="仿宋_gb2312" w:hAnsi="仿宋_gb2312" w:eastAsia="仿宋_gb2312" w:cs="仿宋_gb2312"/>
          <w:b w:val="0"/>
          <w:color w:val="2A2F35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color w:val="2A2F35"/>
          <w:sz w:val="32"/>
          <w:szCs w:val="32"/>
          <w:lang w:val="en-US" w:eastAsia="zh-CN"/>
        </w:rPr>
        <w:t>4.进入信息管理页面，再点击右上角的“</w:t>
      </w:r>
      <w:r>
        <w:rPr>
          <w:rFonts w:hint="eastAsia" w:ascii="仿宋_gb2312" w:hAnsi="仿宋_gb2312" w:eastAsia="仿宋_gb2312" w:cs="仿宋_gb2312"/>
          <w:b/>
          <w:bCs/>
          <w:color w:val="2A2F35"/>
          <w:sz w:val="32"/>
          <w:szCs w:val="32"/>
          <w:lang w:val="en-US" w:eastAsia="zh-CN"/>
        </w:rPr>
        <w:t>授权管理”</w:t>
      </w:r>
      <w:r>
        <w:rPr>
          <w:rFonts w:hint="eastAsia" w:ascii="仿宋_gb2312" w:hAnsi="仿宋_gb2312" w:eastAsia="仿宋_gb2312" w:cs="仿宋_gb2312"/>
          <w:b w:val="0"/>
          <w:color w:val="2A2F35"/>
          <w:sz w:val="32"/>
          <w:szCs w:val="32"/>
          <w:lang w:val="en-US" w:eastAsia="zh-CN"/>
        </w:rPr>
        <w:t>按钮。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133850" cy="73914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_gb2312" w:hAnsi="仿宋_gb2312" w:eastAsia="仿宋_gb2312" w:cs="仿宋_gb2312"/>
          <w:b w:val="0"/>
          <w:color w:val="2A2F35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 w:firstLine="640" w:firstLineChars="200"/>
      </w:pPr>
      <w:r>
        <w:rPr>
          <w:rFonts w:hint="eastAsia" w:ascii="仿宋_gb2312" w:hAnsi="仿宋_gb2312" w:eastAsia="仿宋_gb2312" w:cs="仿宋_gb2312"/>
          <w:b w:val="0"/>
          <w:color w:val="2A2F35"/>
          <w:sz w:val="32"/>
          <w:szCs w:val="32"/>
          <w:lang w:val="en-US" w:eastAsia="zh-CN"/>
        </w:rPr>
        <w:t>5.进入“授权管理”页面后，先点击</w:t>
      </w:r>
      <w:r>
        <w:rPr>
          <w:rFonts w:hint="eastAsia" w:ascii="仿宋_gb2312" w:hAnsi="仿宋_gb2312" w:eastAsia="仿宋_gb2312" w:cs="仿宋_gb2312"/>
          <w:b/>
          <w:bCs/>
          <w:color w:val="2A2F35"/>
          <w:sz w:val="32"/>
          <w:szCs w:val="32"/>
          <w:lang w:val="en-US" w:eastAsia="zh-CN"/>
        </w:rPr>
        <w:t>右侧开启按钮</w:t>
      </w:r>
      <w:r>
        <w:rPr>
          <w:rFonts w:hint="eastAsia" w:ascii="仿宋_gb2312" w:hAnsi="仿宋_gb2312" w:eastAsia="仿宋_gb2312" w:cs="仿宋_gb2312"/>
          <w:b w:val="0"/>
          <w:color w:val="2A2F35"/>
          <w:sz w:val="32"/>
          <w:szCs w:val="32"/>
          <w:lang w:val="en-US" w:eastAsia="zh-CN"/>
        </w:rPr>
        <w:t>，接着在弹出的提示页面，点击</w:t>
      </w:r>
      <w:r>
        <w:rPr>
          <w:rFonts w:hint="eastAsia" w:ascii="仿宋_gb2312" w:hAnsi="仿宋_gb2312" w:eastAsia="仿宋_gb2312" w:cs="仿宋_gb2312"/>
          <w:b/>
          <w:bCs/>
          <w:color w:val="2A2F35"/>
          <w:sz w:val="32"/>
          <w:szCs w:val="32"/>
          <w:lang w:val="en-US" w:eastAsia="zh-CN"/>
        </w:rPr>
        <w:t>“授权”</w:t>
      </w:r>
      <w:r>
        <w:rPr>
          <w:rFonts w:hint="eastAsia" w:ascii="仿宋_gb2312" w:hAnsi="仿宋_gb2312" w:eastAsia="仿宋_gb2312" w:cs="仿宋_gb2312"/>
          <w:b w:val="0"/>
          <w:color w:val="2A2F35"/>
          <w:sz w:val="32"/>
          <w:szCs w:val="32"/>
          <w:lang w:val="en-US" w:eastAsia="zh-CN"/>
        </w:rPr>
        <w:t>二字。</w:t>
      </w:r>
      <w:r>
        <w:drawing>
          <wp:inline distT="0" distB="0" distL="114300" distR="114300">
            <wp:extent cx="3502025" cy="6120765"/>
            <wp:effectExtent l="0" t="0" r="3175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02025" cy="61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990215" cy="1672590"/>
            <wp:effectExtent l="0" t="0" r="63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90215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" w:firstLineChars="200"/>
        <w:rPr>
          <w:rFonts w:hint="eastAsia" w:ascii="仿宋_gb2312" w:hAnsi="仿宋_gb2312" w:eastAsia="仿宋_gb2312" w:cs="仿宋_gb2312"/>
          <w:b w:val="0"/>
          <w:color w:val="2A2F35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color w:val="2A2F35"/>
          <w:sz w:val="32"/>
          <w:szCs w:val="32"/>
          <w:lang w:val="en-US" w:eastAsia="zh-CN"/>
        </w:rPr>
        <w:t>6.登录个人所得税App后，在</w:t>
      </w:r>
      <w:r>
        <w:rPr>
          <w:rFonts w:hint="eastAsia" w:ascii="仿宋_gb2312" w:hAnsi="仿宋_gb2312" w:eastAsia="仿宋_gb2312" w:cs="仿宋_gb2312"/>
          <w:b/>
          <w:bCs/>
          <w:color w:val="2A2F35"/>
          <w:sz w:val="32"/>
          <w:szCs w:val="32"/>
          <w:lang w:val="en-US" w:eastAsia="zh-CN"/>
        </w:rPr>
        <w:t>“个人养老金扣除信息管理”</w:t>
      </w:r>
      <w:r>
        <w:rPr>
          <w:rFonts w:hint="eastAsia" w:ascii="仿宋_gb2312" w:hAnsi="仿宋_gb2312" w:eastAsia="仿宋_gb2312" w:cs="仿宋_gb2312"/>
          <w:b w:val="0"/>
          <w:color w:val="2A2F35"/>
          <w:sz w:val="32"/>
          <w:szCs w:val="32"/>
          <w:lang w:val="en-US" w:eastAsia="zh-CN"/>
        </w:rPr>
        <w:t>页面，点击</w:t>
      </w:r>
      <w:r>
        <w:rPr>
          <w:rFonts w:hint="eastAsia" w:ascii="仿宋_gb2312" w:hAnsi="仿宋_gb2312" w:eastAsia="仿宋_gb2312" w:cs="仿宋_gb2312"/>
          <w:b/>
          <w:bCs/>
          <w:color w:val="2A2F35"/>
          <w:sz w:val="32"/>
          <w:szCs w:val="32"/>
          <w:lang w:val="en-US" w:eastAsia="zh-CN"/>
        </w:rPr>
        <w:t>“扫码录入”</w:t>
      </w:r>
      <w:r>
        <w:rPr>
          <w:rFonts w:hint="eastAsia" w:ascii="仿宋_gb2312" w:hAnsi="仿宋_gb2312" w:eastAsia="仿宋_gb2312" w:cs="仿宋_gb2312"/>
          <w:b w:val="0"/>
          <w:color w:val="2A2F35"/>
          <w:sz w:val="32"/>
          <w:szCs w:val="32"/>
          <w:lang w:val="en-US" w:eastAsia="zh-CN"/>
        </w:rPr>
        <w:t>按钮，扫描个人养老金缴费凭证上面的二维码，完成信息确认后，将自动导入税前扣除个人养老金的相关信息，便可实现税前扣除。</w:t>
      </w:r>
    </w:p>
    <w:p>
      <w:pPr>
        <w:numPr>
          <w:ilvl w:val="0"/>
          <w:numId w:val="0"/>
        </w:numPr>
        <w:ind w:leftChars="0"/>
        <w:rPr>
          <w:rFonts w:hint="default" w:ascii="Microsoft YaHei UI" w:hAnsi="Microsoft YaHei UI" w:eastAsia="Microsoft YaHei UI" w:cs="Microsoft YaHei UI"/>
          <w:i w:val="0"/>
          <w:iCs w:val="0"/>
          <w:caps w:val="0"/>
          <w:color w:val="7B0C00"/>
          <w:spacing w:val="9"/>
          <w:sz w:val="25"/>
          <w:szCs w:val="25"/>
          <w:shd w:val="clear" w:fill="FFFFFF"/>
          <w:lang w:val="en-US" w:eastAsia="zh-CN"/>
        </w:rPr>
      </w:pPr>
      <w:r>
        <w:drawing>
          <wp:inline distT="0" distB="0" distL="114300" distR="114300">
            <wp:extent cx="3343910" cy="6936105"/>
            <wp:effectExtent l="0" t="0" r="8890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43910" cy="693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方正舒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NhYTUzYzRkOTM1YzIyNDMwYjUwNzFmNjIxYjMzYTkifQ=="/>
  </w:docVars>
  <w:rsids>
    <w:rsidRoot w:val="7D627EDE"/>
    <w:rsid w:val="38396C7A"/>
    <w:rsid w:val="7D627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343</Words>
  <Characters>361</Characters>
  <Lines>0</Lines>
  <Paragraphs>0</Paragraphs>
  <TotalTime>0</TotalTime>
  <ScaleCrop>false</ScaleCrop>
  <LinksUpToDate>false</LinksUpToDate>
  <CharactersWithSpaces>363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2022-12-01T11:52:00Z</dcterms:created>
  <dc:creator>WPS_1540722478</dc:creator>
  <cp:lastModifiedBy>WPS_1540722478</cp:lastModifiedBy>
  <dcterms:modified xsi:type="dcterms:W3CDTF">2022-12-23T11:51:27Z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FC9A701E38C240FB9C8D3E0B3DC1AD52</vt:lpwstr>
  </property>
</Properties>
</file>