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武 汉 工 商 学 院</w:t>
      </w:r>
    </w:p>
    <w:p w14:paraId="1AC454BE"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招（议）标文件</w:t>
      </w:r>
    </w:p>
    <w:p w14:paraId="39B559EE" w14:textId="77777777" w:rsidR="00FE3A9D" w:rsidRDefault="006F33A0">
      <w:pPr>
        <w:pStyle w:val="af"/>
        <w:spacing w:before="0" w:beforeAutospacing="0" w:after="0" w:afterAutospacing="0" w:line="450" w:lineRule="atLeast"/>
        <w:jc w:val="center"/>
        <w:rPr>
          <w:sz w:val="21"/>
          <w:szCs w:val="21"/>
        </w:rPr>
      </w:pPr>
      <w:r>
        <w:rPr>
          <w:noProof/>
        </w:rPr>
        <w:drawing>
          <wp:inline distT="0" distB="0" distL="0" distR="0" wp14:anchorId="34EB04EB" wp14:editId="456727B8">
            <wp:extent cx="4264439" cy="401002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71080" cy="4016270"/>
                    </a:xfrm>
                    <a:prstGeom prst="rect">
                      <a:avLst/>
                    </a:prstGeom>
                    <a:noFill/>
                    <a:ln>
                      <a:noFill/>
                    </a:ln>
                  </pic:spPr>
                </pic:pic>
              </a:graphicData>
            </a:graphic>
          </wp:inline>
        </w:drawing>
      </w:r>
    </w:p>
    <w:p w14:paraId="7D47C6B7"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44"/>
          <w:szCs w:val="44"/>
          <w:shd w:val="clear" w:color="auto" w:fill="FFFFFF"/>
        </w:rPr>
        <w:t> </w:t>
      </w:r>
    </w:p>
    <w:p w14:paraId="459F50B8" w14:textId="4AAF0503" w:rsidR="00FE3A9D" w:rsidRDefault="006F33A0">
      <w:pPr>
        <w:pStyle w:val="af"/>
        <w:spacing w:before="0" w:beforeAutospacing="0" w:afterLines="50" w:after="156" w:afterAutospacing="0" w:line="450" w:lineRule="atLeast"/>
        <w:ind w:left="3030" w:hangingChars="686" w:hanging="3030"/>
        <w:jc w:val="both"/>
        <w:rPr>
          <w:sz w:val="21"/>
          <w:szCs w:val="21"/>
          <w:u w:val="single"/>
        </w:rPr>
      </w:pPr>
      <w:r>
        <w:rPr>
          <w:rStyle w:val="af1"/>
          <w:rFonts w:hint="eastAsia"/>
          <w:color w:val="333333"/>
          <w:sz w:val="44"/>
          <w:szCs w:val="44"/>
          <w:shd w:val="clear" w:color="auto" w:fill="FFFFFF"/>
        </w:rPr>
        <w:t>招标项目名称:</w:t>
      </w:r>
      <w:r>
        <w:rPr>
          <w:rFonts w:hint="eastAsia"/>
        </w:rPr>
        <w:t xml:space="preserve"> </w:t>
      </w:r>
      <w:r w:rsidR="00B518C6" w:rsidRPr="00B518C6">
        <w:rPr>
          <w:rStyle w:val="af1"/>
          <w:rFonts w:hint="eastAsia"/>
          <w:color w:val="333333"/>
          <w:sz w:val="28"/>
          <w:szCs w:val="28"/>
          <w:u w:val="single"/>
          <w:shd w:val="clear" w:color="auto" w:fill="FFFFFF"/>
        </w:rPr>
        <w:t>虚拟资源中心机房扩容改造项目</w:t>
      </w:r>
      <w:r w:rsidR="00C923C0">
        <w:rPr>
          <w:rStyle w:val="af1"/>
          <w:rFonts w:hint="eastAsia"/>
          <w:color w:val="333333"/>
          <w:sz w:val="28"/>
          <w:szCs w:val="28"/>
          <w:u w:val="single"/>
          <w:shd w:val="clear" w:color="auto" w:fill="FFFFFF"/>
        </w:rPr>
        <w:t xml:space="preserve"> </w:t>
      </w:r>
      <w:r w:rsidR="0073578E">
        <w:rPr>
          <w:rStyle w:val="af1"/>
          <w:rFonts w:hint="eastAsia"/>
          <w:color w:val="333333"/>
          <w:sz w:val="28"/>
          <w:szCs w:val="28"/>
          <w:u w:val="single"/>
          <w:shd w:val="clear" w:color="auto" w:fill="FFFFFF"/>
        </w:rPr>
        <w:t xml:space="preserve">     </w:t>
      </w:r>
      <w:r w:rsidRPr="00F01579">
        <w:rPr>
          <w:rStyle w:val="af1"/>
          <w:rFonts w:hint="eastAsia"/>
          <w:color w:val="333333"/>
          <w:u w:val="single"/>
          <w:shd w:val="clear" w:color="auto" w:fill="FFFFFF"/>
        </w:rPr>
        <w:t xml:space="preserve"> </w:t>
      </w:r>
      <w:r>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sidR="009861E6">
        <w:rPr>
          <w:rStyle w:val="af1"/>
          <w:rFonts w:hint="eastAsia"/>
          <w:color w:val="333333"/>
          <w:sz w:val="28"/>
          <w:szCs w:val="28"/>
          <w:u w:val="single"/>
          <w:shd w:val="clear" w:color="auto" w:fill="FFFFFF"/>
        </w:rPr>
        <w:t xml:space="preserve">   </w:t>
      </w:r>
    </w:p>
    <w:p w14:paraId="0BE86E9A" w14:textId="6DEC6347" w:rsidR="00FE3A9D" w:rsidRDefault="006F33A0">
      <w:pPr>
        <w:pStyle w:val="af"/>
        <w:spacing w:before="0" w:beforeAutospacing="0" w:afterLines="50" w:after="156" w:afterAutospacing="0" w:line="450" w:lineRule="atLeast"/>
        <w:jc w:val="both"/>
        <w:rPr>
          <w:sz w:val="28"/>
          <w:szCs w:val="28"/>
          <w:u w:val="single"/>
        </w:rPr>
      </w:pPr>
      <w:r>
        <w:rPr>
          <w:rStyle w:val="af1"/>
          <w:rFonts w:hint="eastAsia"/>
          <w:color w:val="333333"/>
          <w:sz w:val="44"/>
          <w:szCs w:val="44"/>
          <w:shd w:val="clear" w:color="auto" w:fill="FFFFFF"/>
        </w:rPr>
        <w:t>编      号</w:t>
      </w:r>
      <w:r>
        <w:rPr>
          <w:rFonts w:hint="eastAsia"/>
          <w:color w:val="333333"/>
          <w:sz w:val="44"/>
          <w:szCs w:val="44"/>
          <w:shd w:val="clear" w:color="auto" w:fill="FFFFFF"/>
        </w:rPr>
        <w:t>:</w:t>
      </w:r>
      <w:r>
        <w:rPr>
          <w:rStyle w:val="af1"/>
          <w:rFonts w:hint="eastAsia"/>
          <w:color w:val="333333"/>
          <w:sz w:val="28"/>
          <w:szCs w:val="28"/>
          <w:u w:val="single"/>
          <w:shd w:val="clear" w:color="auto" w:fill="FFFFFF"/>
        </w:rPr>
        <w:t> G202</w:t>
      </w:r>
      <w:r w:rsidR="00F510D6">
        <w:rPr>
          <w:rStyle w:val="af1"/>
          <w:rFonts w:hint="eastAsia"/>
          <w:color w:val="333333"/>
          <w:sz w:val="28"/>
          <w:szCs w:val="28"/>
          <w:u w:val="single"/>
          <w:shd w:val="clear" w:color="auto" w:fill="FFFFFF"/>
        </w:rPr>
        <w:t>6</w:t>
      </w:r>
      <w:r>
        <w:rPr>
          <w:rStyle w:val="af1"/>
          <w:rFonts w:hint="eastAsia"/>
          <w:color w:val="333333"/>
          <w:sz w:val="28"/>
          <w:szCs w:val="28"/>
          <w:u w:val="single"/>
          <w:shd w:val="clear" w:color="auto" w:fill="FFFFFF"/>
        </w:rPr>
        <w:t>-</w:t>
      </w:r>
      <w:r w:rsidR="00B518C6">
        <w:rPr>
          <w:rStyle w:val="af1"/>
          <w:rFonts w:hint="eastAsia"/>
          <w:color w:val="333333"/>
          <w:sz w:val="28"/>
          <w:szCs w:val="28"/>
          <w:u w:val="single"/>
          <w:shd w:val="clear" w:color="auto" w:fill="FFFFFF"/>
        </w:rPr>
        <w:t>21</w:t>
      </w:r>
      <w:r w:rsidR="00340D0F">
        <w:rPr>
          <w:rStyle w:val="af1"/>
          <w:rFonts w:hint="eastAsia"/>
          <w:color w:val="333333"/>
          <w:sz w:val="28"/>
          <w:szCs w:val="28"/>
          <w:u w:val="single"/>
          <w:shd w:val="clear" w:color="auto" w:fill="FFFFFF"/>
        </w:rPr>
        <w:t xml:space="preserve"> </w:t>
      </w:r>
      <w:r>
        <w:rPr>
          <w:rStyle w:val="af1"/>
          <w:color w:val="333333"/>
          <w:sz w:val="28"/>
          <w:szCs w:val="28"/>
          <w:u w:val="single"/>
          <w:shd w:val="clear" w:color="auto" w:fill="FFFFFF"/>
        </w:rPr>
        <w:t xml:space="preserve">         </w:t>
      </w:r>
      <w:r>
        <w:rPr>
          <w:rStyle w:val="af1"/>
          <w:rFonts w:hint="eastAsia"/>
          <w:color w:val="333333"/>
          <w:sz w:val="32"/>
          <w:szCs w:val="32"/>
          <w:u w:val="single"/>
          <w:shd w:val="clear" w:color="auto" w:fill="FFFFFF"/>
        </w:rPr>
        <w:t xml:space="preserve">                 </w:t>
      </w:r>
    </w:p>
    <w:p w14:paraId="6EE7AF8F" w14:textId="77777777" w:rsidR="00FE3A9D" w:rsidRDefault="006F33A0">
      <w:pPr>
        <w:pStyle w:val="af"/>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f"/>
        <w:spacing w:before="0" w:beforeAutospacing="0" w:after="0" w:afterAutospacing="0" w:line="450" w:lineRule="atLeast"/>
        <w:jc w:val="center"/>
        <w:rPr>
          <w:sz w:val="52"/>
          <w:szCs w:val="52"/>
        </w:rPr>
      </w:pPr>
      <w:r>
        <w:rPr>
          <w:rStyle w:val="af1"/>
          <w:rFonts w:hint="eastAsia"/>
          <w:color w:val="333333"/>
          <w:sz w:val="52"/>
          <w:szCs w:val="52"/>
          <w:shd w:val="clear" w:color="auto" w:fill="FFFFFF"/>
        </w:rPr>
        <w:t>武汉工商学院招投标办公室</w:t>
      </w:r>
    </w:p>
    <w:p w14:paraId="3F527CF9" w14:textId="65554144" w:rsidR="00FE3A9D" w:rsidRDefault="006F33A0">
      <w:pPr>
        <w:pStyle w:val="af"/>
        <w:spacing w:before="0" w:beforeAutospacing="0" w:after="0" w:afterAutospacing="0" w:line="450" w:lineRule="atLeast"/>
        <w:jc w:val="center"/>
        <w:rPr>
          <w:rStyle w:val="af1"/>
          <w:color w:val="333333"/>
          <w:sz w:val="52"/>
          <w:szCs w:val="52"/>
          <w:shd w:val="clear" w:color="auto" w:fill="FFFFFF"/>
        </w:rPr>
      </w:pPr>
      <w:r>
        <w:rPr>
          <w:rStyle w:val="af1"/>
          <w:rFonts w:hint="eastAsia"/>
          <w:color w:val="333333"/>
          <w:sz w:val="52"/>
          <w:szCs w:val="52"/>
          <w:shd w:val="clear" w:color="auto" w:fill="FFFFFF"/>
        </w:rPr>
        <w:t>二○二</w:t>
      </w:r>
      <w:r w:rsidR="00F510D6">
        <w:rPr>
          <w:rStyle w:val="af1"/>
          <w:rFonts w:hint="eastAsia"/>
          <w:color w:val="333333"/>
          <w:sz w:val="52"/>
          <w:szCs w:val="52"/>
          <w:shd w:val="clear" w:color="auto" w:fill="FFFFFF"/>
        </w:rPr>
        <w:t>六</w:t>
      </w:r>
      <w:r>
        <w:rPr>
          <w:rStyle w:val="af1"/>
          <w:rFonts w:hint="eastAsia"/>
          <w:color w:val="333333"/>
          <w:sz w:val="52"/>
          <w:szCs w:val="52"/>
          <w:shd w:val="clear" w:color="auto" w:fill="FFFFFF"/>
        </w:rPr>
        <w:t>年</w:t>
      </w:r>
      <w:r w:rsidR="0073578E">
        <w:rPr>
          <w:rStyle w:val="af1"/>
          <w:rFonts w:hint="eastAsia"/>
          <w:color w:val="333333"/>
          <w:sz w:val="52"/>
          <w:szCs w:val="52"/>
          <w:shd w:val="clear" w:color="auto" w:fill="FFFFFF"/>
        </w:rPr>
        <w:t>七</w:t>
      </w:r>
      <w:r>
        <w:rPr>
          <w:rStyle w:val="af1"/>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10472E80" w14:textId="6D25A034"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8F33FA" w:rsidRPr="008F33FA">
        <w:rPr>
          <w:rFonts w:ascii="仿宋" w:eastAsia="仿宋" w:hAnsi="仿宋" w:hint="eastAsia"/>
          <w:sz w:val="24"/>
          <w:u w:val="single"/>
        </w:rPr>
        <w:t>虚拟资源中心机房扩容改造项目</w:t>
      </w:r>
      <w:r>
        <w:rPr>
          <w:rFonts w:ascii="仿宋" w:eastAsia="仿宋" w:hAnsi="仿宋" w:hint="eastAsia"/>
          <w:sz w:val="24"/>
        </w:rPr>
        <w:t>招标，欢迎能满足标书要求的厂家前来投标。</w:t>
      </w:r>
    </w:p>
    <w:p w14:paraId="15CF9881" w14:textId="5A7D9BE6"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8F33FA" w:rsidRPr="008F33FA">
        <w:rPr>
          <w:rFonts w:ascii="仿宋" w:eastAsia="仿宋" w:hAnsi="仿宋" w:hint="eastAsia"/>
          <w:sz w:val="24"/>
          <w:u w:val="single"/>
        </w:rPr>
        <w:t>虚拟资源中心机房扩容改造项目</w:t>
      </w:r>
      <w:bookmarkStart w:id="0" w:name="_GoBack"/>
      <w:bookmarkEnd w:id="0"/>
    </w:p>
    <w:p w14:paraId="581A4296" w14:textId="5B44079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w:t>
      </w:r>
      <w:r w:rsidR="00F510D6">
        <w:rPr>
          <w:rFonts w:ascii="仿宋" w:eastAsia="仿宋" w:hAnsi="仿宋" w:hint="eastAsia"/>
          <w:sz w:val="24"/>
        </w:rPr>
        <w:t>6</w:t>
      </w:r>
      <w:r>
        <w:rPr>
          <w:rFonts w:ascii="仿宋" w:eastAsia="仿宋" w:hAnsi="仿宋" w:hint="eastAsia"/>
          <w:sz w:val="24"/>
        </w:rPr>
        <w:t>年</w:t>
      </w:r>
      <w:r w:rsidR="0073578E">
        <w:rPr>
          <w:rFonts w:ascii="仿宋" w:eastAsia="仿宋" w:hAnsi="仿宋" w:hint="eastAsia"/>
          <w:sz w:val="24"/>
        </w:rPr>
        <w:t>7</w:t>
      </w:r>
      <w:r>
        <w:rPr>
          <w:rFonts w:ascii="仿宋" w:eastAsia="仿宋" w:hAnsi="仿宋" w:hint="eastAsia"/>
          <w:sz w:val="24"/>
        </w:rPr>
        <w:t>月</w:t>
      </w:r>
      <w:r w:rsidR="002E3027">
        <w:rPr>
          <w:rFonts w:ascii="仿宋" w:eastAsia="仿宋" w:hAnsi="仿宋" w:hint="eastAsia"/>
          <w:sz w:val="24"/>
        </w:rPr>
        <w:t>2</w:t>
      </w:r>
      <w:r w:rsidR="009A4413">
        <w:rPr>
          <w:rFonts w:ascii="仿宋" w:eastAsia="仿宋" w:hAnsi="仿宋" w:hint="eastAsia"/>
          <w:sz w:val="24"/>
        </w:rPr>
        <w:t>2</w:t>
      </w:r>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B518C6">
        <w:rPr>
          <w:rFonts w:ascii="仿宋" w:eastAsia="仿宋" w:hAnsi="仿宋" w:hint="eastAsia"/>
          <w:sz w:val="24"/>
          <w:u w:val="single"/>
        </w:rPr>
        <w:t>5</w:t>
      </w:r>
      <w:r w:rsidR="00F928DF">
        <w:rPr>
          <w:rFonts w:ascii="仿宋" w:eastAsia="仿宋" w:hAnsi="仿宋" w:hint="eastAsia"/>
          <w:sz w:val="24"/>
          <w:u w:val="single"/>
        </w:rPr>
        <w:t>00</w:t>
      </w:r>
      <w:r>
        <w:rPr>
          <w:rFonts w:ascii="仿宋" w:eastAsia="仿宋" w:hAnsi="仿宋" w:hint="eastAsia"/>
          <w:sz w:val="24"/>
          <w:u w:val="single"/>
        </w:rPr>
        <w:t>元</w:t>
      </w:r>
      <w:r w:rsidR="00F928DF">
        <w:rPr>
          <w:rFonts w:ascii="仿宋" w:eastAsia="仿宋" w:hAnsi="仿宋" w:hint="eastAsia"/>
          <w:sz w:val="24"/>
          <w:u w:val="single"/>
        </w:rPr>
        <w:t xml:space="preserve"> </w:t>
      </w:r>
      <w:r>
        <w:rPr>
          <w:rFonts w:ascii="仿宋" w:eastAsia="仿宋" w:hAnsi="仿宋" w:hint="eastAsia"/>
          <w:sz w:val="24"/>
        </w:rPr>
        <w:t>（该费用收取后概不退还）。</w:t>
      </w:r>
    </w:p>
    <w:p w14:paraId="02795767"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41AB4E8" w14:textId="132E52A6"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F928DF">
        <w:rPr>
          <w:rFonts w:ascii="仿宋" w:eastAsia="仿宋" w:hAnsi="仿宋" w:hint="eastAsia"/>
          <w:sz w:val="24"/>
        </w:rPr>
        <w:t>老师</w:t>
      </w:r>
    </w:p>
    <w:p w14:paraId="0F9ADB63"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42DF2ACA" w14:textId="3EA0CBA0"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F928DF">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B518C6">
        <w:rPr>
          <w:rFonts w:ascii="仿宋" w:eastAsia="仿宋" w:hAnsi="仿宋" w:hint="eastAsia"/>
          <w:sz w:val="24"/>
          <w:u w:val="single"/>
        </w:rPr>
        <w:t>伍</w:t>
      </w:r>
      <w:r w:rsidR="00F928DF">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06795D11"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8F41084"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62A92C3"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A4D1196"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9A8A406" w14:textId="48AF54A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w:t>
      </w:r>
      <w:r w:rsidR="00F510D6">
        <w:rPr>
          <w:rFonts w:ascii="仿宋" w:eastAsia="仿宋" w:hAnsi="仿宋" w:hint="eastAsia"/>
          <w:sz w:val="24"/>
        </w:rPr>
        <w:t>6</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45A94FAC" w14:textId="77777777"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B625CFE" w14:textId="77777777"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57963824"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14:paraId="38F49BF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D85C3C6" w14:textId="77777777"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14:paraId="1FB46F47" w14:textId="64350FB0"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w:t>
      </w:r>
      <w:r w:rsidR="00252616">
        <w:rPr>
          <w:rFonts w:ascii="仿宋" w:eastAsia="仿宋" w:hAnsi="仿宋" w:hint="eastAsia"/>
          <w:sz w:val="24"/>
        </w:rPr>
        <w:t>夏</w:t>
      </w:r>
      <w:r w:rsidR="005928B2">
        <w:rPr>
          <w:rFonts w:ascii="仿宋" w:eastAsia="仿宋" w:hAnsi="仿宋" w:hint="eastAsia"/>
          <w:sz w:val="24"/>
        </w:rPr>
        <w:t>老师</w:t>
      </w:r>
      <w:r w:rsidR="00F928DF">
        <w:rPr>
          <w:rFonts w:ascii="仿宋" w:eastAsia="仿宋" w:hAnsi="仿宋" w:hint="eastAsia"/>
          <w:sz w:val="24"/>
        </w:rPr>
        <w:t xml:space="preserve">  </w:t>
      </w:r>
      <w:r w:rsidR="00252616" w:rsidRPr="00252616">
        <w:rPr>
          <w:rFonts w:ascii="仿宋" w:eastAsia="仿宋" w:hAnsi="仿宋"/>
          <w:sz w:val="24"/>
        </w:rPr>
        <w:t>13006103949</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6E31E6A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6A45C0" w14:textId="62995DD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p>
    <w:p w14:paraId="4EC8E8DA" w14:textId="0D0A322C" w:rsidR="0073578E" w:rsidRDefault="0073578E">
      <w:pPr>
        <w:spacing w:line="440" w:lineRule="exact"/>
        <w:ind w:firstLineChars="200" w:firstLine="480"/>
        <w:jc w:val="left"/>
        <w:rPr>
          <w:rFonts w:ascii="仿宋" w:eastAsia="仿宋" w:hAnsi="仿宋"/>
          <w:sz w:val="24"/>
        </w:rPr>
      </w:pPr>
      <w:r>
        <w:rPr>
          <w:rFonts w:ascii="仿宋" w:eastAsia="仿宋" w:hAnsi="仿宋" w:hint="eastAsia"/>
          <w:sz w:val="24"/>
        </w:rPr>
        <w:t>5、中标单位需提供原厂针对本次项目的授权书及售后服务承诺函。</w:t>
      </w:r>
    </w:p>
    <w:p w14:paraId="070294DF" w14:textId="62EB61FB"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6</w:t>
      </w:r>
      <w:r w:rsidR="006F33A0">
        <w:rPr>
          <w:rFonts w:ascii="仿宋" w:eastAsia="仿宋" w:hAnsi="仿宋" w:hint="eastAsia"/>
          <w:sz w:val="24"/>
        </w:rPr>
        <w:t>、投标公司须列举近三年来在相近高校的经营业绩，包含联系人及联系方式，供货日期，合同金额等，至少列举3例以上，用表格形式。（务必真实）</w:t>
      </w:r>
    </w:p>
    <w:p w14:paraId="0915D262" w14:textId="4EF12861"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7</w:t>
      </w:r>
      <w:r w:rsidR="006F33A0">
        <w:rPr>
          <w:rFonts w:ascii="仿宋" w:eastAsia="仿宋" w:hAnsi="仿宋" w:hint="eastAsia"/>
          <w:sz w:val="24"/>
        </w:rPr>
        <w:t>、请投标方严格按照我方拟定的标书文件的顺序报价，并注明商品规格，产地等。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5BEBF29C" w14:textId="7DCFFCDA" w:rsidR="009861E6" w:rsidRDefault="006D7BBD" w:rsidP="006D7BBD">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533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9"/>
        <w:gridCol w:w="709"/>
        <w:gridCol w:w="709"/>
        <w:gridCol w:w="6520"/>
      </w:tblGrid>
      <w:tr w:rsidR="00252616" w:rsidRPr="009F3922" w14:paraId="4C08A824" w14:textId="77777777" w:rsidTr="009727CC">
        <w:trPr>
          <w:trHeight w:val="540"/>
        </w:trPr>
        <w:tc>
          <w:tcPr>
            <w:tcW w:w="352" w:type="pct"/>
            <w:vAlign w:val="center"/>
          </w:tcPr>
          <w:p w14:paraId="59038C0D" w14:textId="5053B3A8" w:rsidR="00252616" w:rsidRPr="009F3922" w:rsidRDefault="009F3922" w:rsidP="009F3922">
            <w:pPr>
              <w:widowControl/>
              <w:jc w:val="center"/>
              <w:rPr>
                <w:rFonts w:ascii="仿宋" w:eastAsia="仿宋" w:hAnsi="仿宋" w:cs="宋体"/>
                <w:b/>
                <w:color w:val="000000"/>
                <w:kern w:val="0"/>
                <w:sz w:val="24"/>
                <w:szCs w:val="24"/>
              </w:rPr>
            </w:pPr>
            <w:r w:rsidRPr="009F3922">
              <w:rPr>
                <w:rFonts w:ascii="仿宋" w:eastAsia="仿宋" w:hAnsi="仿宋" w:cs="宋体" w:hint="eastAsia"/>
                <w:b/>
                <w:color w:val="000000"/>
                <w:kern w:val="0"/>
                <w:sz w:val="24"/>
                <w:szCs w:val="24"/>
              </w:rPr>
              <w:t>序号</w:t>
            </w:r>
          </w:p>
        </w:tc>
        <w:tc>
          <w:tcPr>
            <w:tcW w:w="705" w:type="pct"/>
            <w:shd w:val="clear" w:color="auto" w:fill="auto"/>
            <w:noWrap/>
            <w:vAlign w:val="center"/>
          </w:tcPr>
          <w:p w14:paraId="5E9E914E" w14:textId="35AA8339" w:rsidR="00252616" w:rsidRPr="009F3922" w:rsidRDefault="009F3922" w:rsidP="009F3922">
            <w:pPr>
              <w:widowControl/>
              <w:jc w:val="center"/>
              <w:rPr>
                <w:rFonts w:ascii="仿宋" w:eastAsia="仿宋" w:hAnsi="仿宋" w:cs="宋体"/>
                <w:b/>
                <w:color w:val="000000"/>
                <w:kern w:val="0"/>
                <w:sz w:val="24"/>
                <w:szCs w:val="24"/>
              </w:rPr>
            </w:pPr>
            <w:r w:rsidRPr="009F3922">
              <w:rPr>
                <w:rFonts w:ascii="仿宋" w:eastAsia="仿宋" w:hAnsi="仿宋" w:cs="宋体" w:hint="eastAsia"/>
                <w:b/>
                <w:color w:val="000000"/>
                <w:kern w:val="0"/>
                <w:sz w:val="24"/>
                <w:szCs w:val="24"/>
              </w:rPr>
              <w:t>设备名称</w:t>
            </w:r>
          </w:p>
        </w:tc>
        <w:tc>
          <w:tcPr>
            <w:tcW w:w="352" w:type="pct"/>
            <w:shd w:val="clear" w:color="auto" w:fill="auto"/>
            <w:noWrap/>
            <w:vAlign w:val="center"/>
          </w:tcPr>
          <w:p w14:paraId="04394929" w14:textId="78FD980A" w:rsidR="00252616" w:rsidRPr="009F3922" w:rsidRDefault="009F3922" w:rsidP="009F3922">
            <w:pPr>
              <w:widowControl/>
              <w:jc w:val="center"/>
              <w:rPr>
                <w:rFonts w:ascii="仿宋" w:eastAsia="仿宋" w:hAnsi="仿宋" w:cs="宋体"/>
                <w:b/>
                <w:color w:val="000000"/>
                <w:kern w:val="0"/>
                <w:sz w:val="24"/>
                <w:szCs w:val="24"/>
              </w:rPr>
            </w:pPr>
            <w:r w:rsidRPr="009F3922">
              <w:rPr>
                <w:rFonts w:ascii="仿宋" w:eastAsia="仿宋" w:hAnsi="仿宋" w:cs="宋体" w:hint="eastAsia"/>
                <w:b/>
                <w:color w:val="000000"/>
                <w:kern w:val="0"/>
                <w:sz w:val="24"/>
                <w:szCs w:val="24"/>
              </w:rPr>
              <w:t>单位</w:t>
            </w:r>
          </w:p>
        </w:tc>
        <w:tc>
          <w:tcPr>
            <w:tcW w:w="352" w:type="pct"/>
            <w:shd w:val="clear" w:color="auto" w:fill="auto"/>
            <w:vAlign w:val="center"/>
          </w:tcPr>
          <w:p w14:paraId="24B86BFC" w14:textId="09E194AF" w:rsidR="00252616" w:rsidRPr="009F3922" w:rsidRDefault="009F3922" w:rsidP="009F3922">
            <w:pPr>
              <w:widowControl/>
              <w:jc w:val="center"/>
              <w:rPr>
                <w:rFonts w:ascii="仿宋" w:eastAsia="仿宋" w:hAnsi="仿宋" w:cs="宋体"/>
                <w:b/>
                <w:color w:val="000000"/>
                <w:kern w:val="0"/>
                <w:sz w:val="24"/>
                <w:szCs w:val="24"/>
              </w:rPr>
            </w:pPr>
            <w:r w:rsidRPr="009F3922">
              <w:rPr>
                <w:rFonts w:ascii="仿宋" w:eastAsia="仿宋" w:hAnsi="仿宋" w:cs="宋体" w:hint="eastAsia"/>
                <w:b/>
                <w:color w:val="000000"/>
                <w:kern w:val="0"/>
                <w:sz w:val="24"/>
                <w:szCs w:val="24"/>
              </w:rPr>
              <w:t>数量</w:t>
            </w:r>
          </w:p>
        </w:tc>
        <w:tc>
          <w:tcPr>
            <w:tcW w:w="3239" w:type="pct"/>
            <w:shd w:val="clear" w:color="auto" w:fill="auto"/>
            <w:vAlign w:val="center"/>
          </w:tcPr>
          <w:p w14:paraId="52135DF7" w14:textId="77F2A9AE" w:rsidR="00252616" w:rsidRPr="009F3922" w:rsidRDefault="009F3922" w:rsidP="009F3922">
            <w:pPr>
              <w:widowControl/>
              <w:jc w:val="center"/>
              <w:rPr>
                <w:rFonts w:ascii="仿宋" w:eastAsia="仿宋" w:hAnsi="仿宋" w:cs="宋体"/>
                <w:b/>
                <w:color w:val="000000"/>
                <w:kern w:val="0"/>
                <w:sz w:val="24"/>
                <w:szCs w:val="24"/>
              </w:rPr>
            </w:pPr>
            <w:r w:rsidRPr="009F3922">
              <w:rPr>
                <w:rFonts w:ascii="仿宋" w:eastAsia="仿宋" w:hAnsi="仿宋" w:cs="宋体" w:hint="eastAsia"/>
                <w:b/>
                <w:color w:val="000000"/>
                <w:kern w:val="0"/>
                <w:sz w:val="24"/>
                <w:szCs w:val="24"/>
              </w:rPr>
              <w:t>功能参数</w:t>
            </w:r>
          </w:p>
        </w:tc>
      </w:tr>
      <w:tr w:rsidR="00252616" w:rsidRPr="00252616" w14:paraId="5BDAF0F9" w14:textId="77777777" w:rsidTr="009727CC">
        <w:trPr>
          <w:trHeight w:val="987"/>
        </w:trPr>
        <w:tc>
          <w:tcPr>
            <w:tcW w:w="352" w:type="pct"/>
            <w:vAlign w:val="center"/>
          </w:tcPr>
          <w:p w14:paraId="1896267C" w14:textId="33645F6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705" w:type="pct"/>
            <w:shd w:val="clear" w:color="auto" w:fill="auto"/>
            <w:noWrap/>
            <w:vAlign w:val="center"/>
            <w:hideMark/>
          </w:tcPr>
          <w:p w14:paraId="54131083" w14:textId="7820ACE8"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通风地板</w:t>
            </w:r>
          </w:p>
        </w:tc>
        <w:tc>
          <w:tcPr>
            <w:tcW w:w="352" w:type="pct"/>
            <w:shd w:val="clear" w:color="auto" w:fill="auto"/>
            <w:noWrap/>
            <w:vAlign w:val="center"/>
            <w:hideMark/>
          </w:tcPr>
          <w:p w14:paraId="7A6D54F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平米</w:t>
            </w:r>
          </w:p>
        </w:tc>
        <w:tc>
          <w:tcPr>
            <w:tcW w:w="352" w:type="pct"/>
            <w:shd w:val="clear" w:color="auto" w:fill="auto"/>
            <w:vAlign w:val="center"/>
            <w:hideMark/>
          </w:tcPr>
          <w:p w14:paraId="4F609C35"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3.6</w:t>
            </w:r>
          </w:p>
        </w:tc>
        <w:tc>
          <w:tcPr>
            <w:tcW w:w="3239" w:type="pct"/>
            <w:shd w:val="clear" w:color="auto" w:fill="auto"/>
            <w:vAlign w:val="center"/>
            <w:hideMark/>
          </w:tcPr>
          <w:p w14:paraId="18BB132A"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1.通风率：≥13%</w:t>
            </w:r>
            <w:r w:rsidRPr="00252616">
              <w:rPr>
                <w:rFonts w:ascii="仿宋" w:eastAsia="仿宋" w:hAnsi="仿宋" w:cs="宋体" w:hint="eastAsia"/>
                <w:color w:val="000000"/>
                <w:kern w:val="0"/>
                <w:sz w:val="24"/>
                <w:szCs w:val="24"/>
              </w:rPr>
              <w:br/>
              <w:t>2.规格：600*600*35mm                                                                                                                                                                                                                                                                                                                                                                       3.地板支架高度300mm</w:t>
            </w:r>
            <w:r w:rsidRPr="00252616">
              <w:rPr>
                <w:rFonts w:ascii="仿宋" w:eastAsia="仿宋" w:hAnsi="仿宋" w:cs="宋体" w:hint="eastAsia"/>
                <w:color w:val="000000"/>
                <w:kern w:val="0"/>
                <w:sz w:val="24"/>
                <w:szCs w:val="24"/>
              </w:rPr>
              <w:br/>
              <w:t>4.耐烟火性能：不小于1600 ℃</w:t>
            </w:r>
          </w:p>
        </w:tc>
      </w:tr>
      <w:tr w:rsidR="00252616" w:rsidRPr="00252616" w14:paraId="15BCC83E" w14:textId="77777777" w:rsidTr="009727CC">
        <w:trPr>
          <w:trHeight w:val="972"/>
        </w:trPr>
        <w:tc>
          <w:tcPr>
            <w:tcW w:w="352" w:type="pct"/>
            <w:vAlign w:val="center"/>
          </w:tcPr>
          <w:p w14:paraId="207B322D" w14:textId="2CAC377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705" w:type="pct"/>
            <w:shd w:val="clear" w:color="auto" w:fill="auto"/>
            <w:noWrap/>
            <w:vAlign w:val="center"/>
            <w:hideMark/>
          </w:tcPr>
          <w:p w14:paraId="795B5B91" w14:textId="534F3398"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机柜承重支架</w:t>
            </w:r>
          </w:p>
        </w:tc>
        <w:tc>
          <w:tcPr>
            <w:tcW w:w="352" w:type="pct"/>
            <w:shd w:val="clear" w:color="auto" w:fill="auto"/>
            <w:noWrap/>
            <w:vAlign w:val="center"/>
            <w:hideMark/>
          </w:tcPr>
          <w:p w14:paraId="40D4C515"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3D9996C3"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10</w:t>
            </w:r>
          </w:p>
        </w:tc>
        <w:tc>
          <w:tcPr>
            <w:tcW w:w="3239" w:type="pct"/>
            <w:shd w:val="clear" w:color="auto" w:fill="auto"/>
            <w:vAlign w:val="center"/>
            <w:hideMark/>
          </w:tcPr>
          <w:p w14:paraId="6B9A33A9"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机柜承重支架</w:t>
            </w:r>
            <w:r w:rsidRPr="00252616">
              <w:rPr>
                <w:rFonts w:ascii="仿宋" w:eastAsia="仿宋" w:hAnsi="仿宋" w:cs="宋体" w:hint="eastAsia"/>
                <w:color w:val="000000"/>
                <w:kern w:val="0"/>
                <w:sz w:val="24"/>
                <w:szCs w:val="24"/>
              </w:rPr>
              <w:br/>
              <w:t>1.尺寸：600*1000*400；</w:t>
            </w:r>
            <w:r w:rsidRPr="00252616">
              <w:rPr>
                <w:rFonts w:ascii="仿宋" w:eastAsia="仿宋" w:hAnsi="仿宋" w:cs="宋体" w:hint="eastAsia"/>
                <w:color w:val="000000"/>
                <w:kern w:val="0"/>
                <w:sz w:val="24"/>
                <w:szCs w:val="24"/>
              </w:rPr>
              <w:br/>
              <w:t>2.材质：50*50*5m角铁</w:t>
            </w:r>
            <w:r w:rsidRPr="00252616">
              <w:rPr>
                <w:rFonts w:ascii="仿宋" w:eastAsia="仿宋" w:hAnsi="仿宋" w:cs="宋体" w:hint="eastAsia"/>
                <w:color w:val="000000"/>
                <w:kern w:val="0"/>
                <w:sz w:val="24"/>
                <w:szCs w:val="24"/>
              </w:rPr>
              <w:br/>
              <w:t>3.刷2遍防锈漆</w:t>
            </w:r>
          </w:p>
        </w:tc>
      </w:tr>
      <w:tr w:rsidR="00252616" w:rsidRPr="00252616" w14:paraId="411C3C53" w14:textId="77777777" w:rsidTr="009727CC">
        <w:trPr>
          <w:trHeight w:val="900"/>
        </w:trPr>
        <w:tc>
          <w:tcPr>
            <w:tcW w:w="352" w:type="pct"/>
            <w:vAlign w:val="center"/>
          </w:tcPr>
          <w:p w14:paraId="186CEAE5" w14:textId="65D8127D"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705" w:type="pct"/>
            <w:shd w:val="clear" w:color="auto" w:fill="auto"/>
            <w:vAlign w:val="center"/>
            <w:hideMark/>
          </w:tcPr>
          <w:p w14:paraId="065AB118" w14:textId="3140A7AA"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拆除</w:t>
            </w:r>
          </w:p>
        </w:tc>
        <w:tc>
          <w:tcPr>
            <w:tcW w:w="352" w:type="pct"/>
            <w:shd w:val="clear" w:color="auto" w:fill="auto"/>
            <w:noWrap/>
            <w:vAlign w:val="center"/>
            <w:hideMark/>
          </w:tcPr>
          <w:p w14:paraId="60488C8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项</w:t>
            </w:r>
          </w:p>
        </w:tc>
        <w:tc>
          <w:tcPr>
            <w:tcW w:w="352" w:type="pct"/>
            <w:shd w:val="clear" w:color="auto" w:fill="auto"/>
            <w:vAlign w:val="center"/>
            <w:hideMark/>
          </w:tcPr>
          <w:p w14:paraId="5A441AB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578C6C1B"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原玻璃及隔断基础拆除，含垃圾清运</w:t>
            </w:r>
            <w:r w:rsidRPr="00252616">
              <w:rPr>
                <w:rFonts w:ascii="仿宋" w:eastAsia="仿宋" w:hAnsi="仿宋" w:cs="宋体" w:hint="eastAsia"/>
                <w:color w:val="000000"/>
                <w:kern w:val="0"/>
                <w:sz w:val="24"/>
                <w:szCs w:val="24"/>
              </w:rPr>
              <w:br/>
              <w:t>原机房拆除</w:t>
            </w:r>
            <w:r w:rsidRPr="00252616">
              <w:rPr>
                <w:rFonts w:ascii="仿宋" w:eastAsia="仿宋" w:hAnsi="仿宋" w:cs="宋体" w:hint="eastAsia"/>
                <w:color w:val="000000"/>
                <w:kern w:val="0"/>
                <w:sz w:val="24"/>
                <w:szCs w:val="24"/>
              </w:rPr>
              <w:br/>
              <w:t>原蓄电池与UPS拆除</w:t>
            </w:r>
          </w:p>
        </w:tc>
      </w:tr>
      <w:tr w:rsidR="00252616" w:rsidRPr="00252616" w14:paraId="65CE595C" w14:textId="77777777" w:rsidTr="009727CC">
        <w:trPr>
          <w:trHeight w:val="675"/>
        </w:trPr>
        <w:tc>
          <w:tcPr>
            <w:tcW w:w="352" w:type="pct"/>
            <w:vAlign w:val="center"/>
          </w:tcPr>
          <w:p w14:paraId="222F9EC3" w14:textId="2D4A2BD7"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705" w:type="pct"/>
            <w:shd w:val="clear" w:color="auto" w:fill="auto"/>
            <w:noWrap/>
            <w:vAlign w:val="center"/>
            <w:hideMark/>
          </w:tcPr>
          <w:p w14:paraId="73430F52" w14:textId="257C0745"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网络桥架</w:t>
            </w:r>
          </w:p>
        </w:tc>
        <w:tc>
          <w:tcPr>
            <w:tcW w:w="352" w:type="pct"/>
            <w:shd w:val="clear" w:color="auto" w:fill="auto"/>
            <w:noWrap/>
            <w:vAlign w:val="center"/>
            <w:hideMark/>
          </w:tcPr>
          <w:p w14:paraId="6EAFAE74"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64C4871C"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15</w:t>
            </w:r>
          </w:p>
        </w:tc>
        <w:tc>
          <w:tcPr>
            <w:tcW w:w="3239" w:type="pct"/>
            <w:shd w:val="clear" w:color="auto" w:fill="auto"/>
            <w:vAlign w:val="center"/>
            <w:hideMark/>
          </w:tcPr>
          <w:p w14:paraId="03EAE7E1"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钢制槽式桥架200*100*5mm</w:t>
            </w:r>
            <w:r w:rsidRPr="00252616">
              <w:rPr>
                <w:rFonts w:ascii="仿宋" w:eastAsia="仿宋" w:hAnsi="仿宋" w:cs="宋体" w:hint="eastAsia"/>
                <w:color w:val="000000"/>
                <w:kern w:val="0"/>
                <w:sz w:val="24"/>
                <w:szCs w:val="24"/>
              </w:rPr>
              <w:br/>
              <w:t>原材料为：碳钢，表面处理为：电镀锌。含支撑组件、直连件、L转弯加强条、卡扣等</w:t>
            </w:r>
          </w:p>
        </w:tc>
      </w:tr>
      <w:tr w:rsidR="00252616" w:rsidRPr="00252616" w14:paraId="2EEA1886" w14:textId="77777777" w:rsidTr="009727CC">
        <w:trPr>
          <w:trHeight w:val="450"/>
        </w:trPr>
        <w:tc>
          <w:tcPr>
            <w:tcW w:w="352" w:type="pct"/>
            <w:vAlign w:val="center"/>
          </w:tcPr>
          <w:p w14:paraId="14227691" w14:textId="1180963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705" w:type="pct"/>
            <w:shd w:val="clear" w:color="auto" w:fill="auto"/>
            <w:noWrap/>
            <w:vAlign w:val="center"/>
            <w:hideMark/>
          </w:tcPr>
          <w:p w14:paraId="38470839" w14:textId="17EA5743"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强电桥架</w:t>
            </w:r>
          </w:p>
        </w:tc>
        <w:tc>
          <w:tcPr>
            <w:tcW w:w="352" w:type="pct"/>
            <w:shd w:val="clear" w:color="auto" w:fill="auto"/>
            <w:noWrap/>
            <w:vAlign w:val="center"/>
            <w:hideMark/>
          </w:tcPr>
          <w:p w14:paraId="1813387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346A0B3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30</w:t>
            </w:r>
          </w:p>
        </w:tc>
        <w:tc>
          <w:tcPr>
            <w:tcW w:w="3239" w:type="pct"/>
            <w:shd w:val="clear" w:color="auto" w:fill="auto"/>
            <w:vAlign w:val="center"/>
            <w:hideMark/>
          </w:tcPr>
          <w:p w14:paraId="1B8A97B1"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200*100 镀锌桥架，含盖板</w:t>
            </w:r>
          </w:p>
        </w:tc>
      </w:tr>
      <w:tr w:rsidR="00252616" w:rsidRPr="00252616" w14:paraId="05207F58" w14:textId="77777777" w:rsidTr="009727CC">
        <w:trPr>
          <w:trHeight w:val="450"/>
        </w:trPr>
        <w:tc>
          <w:tcPr>
            <w:tcW w:w="352" w:type="pct"/>
            <w:vAlign w:val="center"/>
          </w:tcPr>
          <w:p w14:paraId="5C7FCC90" w14:textId="0D0ED3C2"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705" w:type="pct"/>
            <w:shd w:val="clear" w:color="auto" w:fill="auto"/>
            <w:noWrap/>
            <w:vAlign w:val="center"/>
            <w:hideMark/>
          </w:tcPr>
          <w:p w14:paraId="65BBA17F" w14:textId="092B4842"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辅材</w:t>
            </w:r>
          </w:p>
        </w:tc>
        <w:tc>
          <w:tcPr>
            <w:tcW w:w="352" w:type="pct"/>
            <w:shd w:val="clear" w:color="auto" w:fill="auto"/>
            <w:noWrap/>
            <w:vAlign w:val="center"/>
            <w:hideMark/>
          </w:tcPr>
          <w:p w14:paraId="6A2F76A7"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项</w:t>
            </w:r>
          </w:p>
        </w:tc>
        <w:tc>
          <w:tcPr>
            <w:tcW w:w="352" w:type="pct"/>
            <w:shd w:val="clear" w:color="auto" w:fill="auto"/>
            <w:vAlign w:val="center"/>
            <w:hideMark/>
          </w:tcPr>
          <w:p w14:paraId="39E7C5A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5B1D10F5"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拆除和恢复过程中所需的辅材</w:t>
            </w:r>
          </w:p>
        </w:tc>
      </w:tr>
      <w:tr w:rsidR="00252616" w:rsidRPr="00252616" w14:paraId="0E7FE465" w14:textId="77777777" w:rsidTr="009727CC">
        <w:trPr>
          <w:trHeight w:val="765"/>
        </w:trPr>
        <w:tc>
          <w:tcPr>
            <w:tcW w:w="352" w:type="pct"/>
            <w:vAlign w:val="center"/>
          </w:tcPr>
          <w:p w14:paraId="4428E5D1" w14:textId="0CDE79EB"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705" w:type="pct"/>
            <w:shd w:val="clear" w:color="auto" w:fill="auto"/>
            <w:vAlign w:val="center"/>
            <w:hideMark/>
          </w:tcPr>
          <w:p w14:paraId="4AC1FB81" w14:textId="2DD7A02F"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UPS输入输出精密配电柜</w:t>
            </w:r>
          </w:p>
        </w:tc>
        <w:tc>
          <w:tcPr>
            <w:tcW w:w="352" w:type="pct"/>
            <w:shd w:val="clear" w:color="auto" w:fill="auto"/>
            <w:noWrap/>
            <w:vAlign w:val="center"/>
            <w:hideMark/>
          </w:tcPr>
          <w:p w14:paraId="0EDA67F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6BD3625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79F3869B"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根据实际情况定制，3P800A，★需接入原有动环监控软件平台进行监测实时数据。</w:t>
            </w:r>
          </w:p>
        </w:tc>
      </w:tr>
      <w:tr w:rsidR="00252616" w:rsidRPr="00252616" w14:paraId="75E3DF2B" w14:textId="77777777" w:rsidTr="009727CC">
        <w:trPr>
          <w:trHeight w:val="420"/>
        </w:trPr>
        <w:tc>
          <w:tcPr>
            <w:tcW w:w="352" w:type="pct"/>
            <w:vAlign w:val="center"/>
          </w:tcPr>
          <w:p w14:paraId="1B1A81FA" w14:textId="4DF7E7F0"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705" w:type="pct"/>
            <w:shd w:val="clear" w:color="auto" w:fill="auto"/>
            <w:vAlign w:val="center"/>
            <w:hideMark/>
          </w:tcPr>
          <w:p w14:paraId="5B69A260" w14:textId="70056C59"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UPS电源</w:t>
            </w:r>
          </w:p>
        </w:tc>
        <w:tc>
          <w:tcPr>
            <w:tcW w:w="352" w:type="pct"/>
            <w:shd w:val="clear" w:color="auto" w:fill="auto"/>
            <w:noWrap/>
            <w:vAlign w:val="center"/>
            <w:hideMark/>
          </w:tcPr>
          <w:p w14:paraId="7E8712BD"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1EE6E302"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229CD6A9"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（1）★本项目要求采用三进三出模块化UPS，其满配容量为300kVA,单个功率模块容量50kVA。为保证UPS功率模块的冗余度，便于及时维护更换，要求UPS主机可支持功率模块满配数量为6个。</w:t>
            </w:r>
            <w:r w:rsidRPr="00252616">
              <w:rPr>
                <w:rFonts w:ascii="仿宋" w:eastAsia="仿宋" w:hAnsi="仿宋" w:cs="宋体" w:hint="eastAsia"/>
                <w:color w:val="000000"/>
                <w:kern w:val="0"/>
                <w:sz w:val="24"/>
                <w:szCs w:val="24"/>
              </w:rPr>
              <w:br/>
              <w:t>（2）★UPS主机需接入原机房动环监控系统软件平台展示UPS设备电压、电流等实时数据，远程记录及观看。</w:t>
            </w:r>
            <w:r w:rsidRPr="00252616">
              <w:rPr>
                <w:rFonts w:ascii="仿宋" w:eastAsia="仿宋" w:hAnsi="仿宋" w:cs="宋体" w:hint="eastAsia"/>
                <w:color w:val="000000"/>
                <w:kern w:val="0"/>
                <w:sz w:val="24"/>
                <w:szCs w:val="24"/>
              </w:rPr>
              <w:br/>
              <w:t>（3）UPS输入电压制式380/400/415VAC(线电压)，支持304～478VAC（线电压）满载；304～228VAC （线电压）负载从100%到50%之间线性降额，UPS输出电压为380/400/415VAC(线电压)，50/60Hz，UPS输出稳压精度±1%以内。</w:t>
            </w:r>
            <w:r w:rsidRPr="00252616">
              <w:rPr>
                <w:rFonts w:ascii="仿宋" w:eastAsia="仿宋" w:hAnsi="仿宋" w:cs="宋体" w:hint="eastAsia"/>
                <w:color w:val="000000"/>
                <w:kern w:val="0"/>
                <w:sz w:val="24"/>
                <w:szCs w:val="24"/>
              </w:rPr>
              <w:br/>
              <w:t>（4）★UPS主机应按照标准机柜宽度600mm设计，以便更好匹配数据中心使用场景。现场空间有限，要求UPS深度小于或等于800mm。提供彩页证明并加盖所投品牌厂商公章。</w:t>
            </w:r>
            <w:r w:rsidRPr="00252616">
              <w:rPr>
                <w:rFonts w:ascii="仿宋" w:eastAsia="仿宋" w:hAnsi="仿宋" w:cs="宋体" w:hint="eastAsia"/>
                <w:color w:val="000000"/>
                <w:kern w:val="0"/>
                <w:sz w:val="24"/>
                <w:szCs w:val="24"/>
              </w:rPr>
              <w:br/>
              <w:t>（5）★为保证UPS产品的高效节能、绿色环保，UPS输入功率因数高达≥0.99（100%额定非线性负载），系统效率≥96.5%（50%额定阻性负载），系统效率≥96.2%（30%额定阻性负载），输出功率因数均为1(1kVA=1kW)。需提供同系列产品国家认可的权威机构出具的具有CNAS 标识的检测报告证明并加盖所投品牌厂商公章。</w:t>
            </w:r>
            <w:r w:rsidRPr="00252616">
              <w:rPr>
                <w:rFonts w:ascii="仿宋" w:eastAsia="仿宋" w:hAnsi="仿宋" w:cs="宋体" w:hint="eastAsia"/>
                <w:color w:val="000000"/>
                <w:kern w:val="0"/>
                <w:sz w:val="24"/>
                <w:szCs w:val="24"/>
              </w:rPr>
              <w:br/>
            </w:r>
            <w:r w:rsidRPr="00252616">
              <w:rPr>
                <w:rFonts w:ascii="仿宋" w:eastAsia="仿宋" w:hAnsi="仿宋" w:cs="宋体" w:hint="eastAsia"/>
                <w:color w:val="000000"/>
                <w:kern w:val="0"/>
                <w:sz w:val="24"/>
                <w:szCs w:val="24"/>
              </w:rPr>
              <w:lastRenderedPageBreak/>
              <w:t>（6）★UPS支持电池组节数30-50节可调(即电池电压±180-±300VDC)，便于未来遭遇个别电池故障需要维护、更换时, 可灵活调节电池节数的需要。需提供国家认可的权威机构出具的具有CNAS 标识的检测报告证明并加盖所投品牌厂商公章。</w:t>
            </w:r>
            <w:r w:rsidRPr="00252616">
              <w:rPr>
                <w:rFonts w:ascii="仿宋" w:eastAsia="仿宋" w:hAnsi="仿宋" w:cs="宋体" w:hint="eastAsia"/>
                <w:color w:val="000000"/>
                <w:kern w:val="0"/>
                <w:sz w:val="24"/>
                <w:szCs w:val="24"/>
              </w:rPr>
              <w:br/>
              <w:t>（7）★为保证各功率模块输出一致性以及整个系统运行的稳定可靠，要求三相电压不平衡度：100%不平衡负载≤0.3%，输出电流不均衡度：50%负载≤0.6%。需提供同系列产品国家认可的权威机构出具的具有CNAS 标识的检测报告证明并加盖所投品牌厂商公章。</w:t>
            </w:r>
            <w:r w:rsidRPr="00252616">
              <w:rPr>
                <w:rFonts w:ascii="仿宋" w:eastAsia="仿宋" w:hAnsi="仿宋" w:cs="宋体" w:hint="eastAsia"/>
                <w:color w:val="000000"/>
                <w:kern w:val="0"/>
                <w:sz w:val="24"/>
                <w:szCs w:val="24"/>
              </w:rPr>
              <w:br/>
              <w:t>（8）功率模块采用人性化的编号方法和编号装置，UPS系统可智能识别，无需通过拨码或软件设置。需提供国家认可的权威机构出具的具有 CNAS 标识的检测报告证明并加盖所投品牌厂商公章。</w:t>
            </w:r>
            <w:r w:rsidRPr="00252616">
              <w:rPr>
                <w:rFonts w:ascii="仿宋" w:eastAsia="仿宋" w:hAnsi="仿宋" w:cs="宋体" w:hint="eastAsia"/>
                <w:color w:val="000000"/>
                <w:kern w:val="0"/>
                <w:sz w:val="24"/>
                <w:szCs w:val="24"/>
              </w:rPr>
              <w:br/>
              <w:t>（9）★UPS应具备智能故障录波功能，能够自动识别并记录故障时刻前后一段时间内的整流\逆变波形数据，并可导出至电脑端生成波形图，需提供同系列产品国家认可的权威机构出具的具有 CNAS 标识的检测报告证明并加盖所投品牌厂商公章。</w:t>
            </w:r>
            <w:r w:rsidRPr="00252616">
              <w:rPr>
                <w:rFonts w:ascii="仿宋" w:eastAsia="仿宋" w:hAnsi="仿宋" w:cs="宋体" w:hint="eastAsia"/>
                <w:color w:val="000000"/>
                <w:kern w:val="0"/>
                <w:sz w:val="24"/>
                <w:szCs w:val="24"/>
              </w:rPr>
              <w:br/>
              <w:t>（10）★UPS具备波形图显示功能，屏幕可显示输出电压、输出电流、旁路电压的实时波形图。方便用户实时观看UPS运行状态。需提供国家认可的权威机构出具的具有 CNAS 标识的检测报告证明并加盖所投品牌厂商公章。</w:t>
            </w:r>
            <w:r w:rsidRPr="00252616">
              <w:rPr>
                <w:rFonts w:ascii="仿宋" w:eastAsia="仿宋" w:hAnsi="仿宋" w:cs="宋体" w:hint="eastAsia"/>
                <w:color w:val="000000"/>
                <w:kern w:val="0"/>
                <w:sz w:val="24"/>
                <w:szCs w:val="24"/>
              </w:rPr>
              <w:br/>
              <w:t>（11）★UPS显示面板标配三色告警灯柱，可根据机器运行状况显示不同颜色，正常状态显示绿色，一般告警为黄色，紧急告警为红色。需提供国家认可的权威机构出具的具有 CNAS 标识的检测报告证明并加盖所投品牌厂商公章。</w:t>
            </w:r>
            <w:r w:rsidRPr="00252616">
              <w:rPr>
                <w:rFonts w:ascii="仿宋" w:eastAsia="仿宋" w:hAnsi="仿宋" w:cs="宋体" w:hint="eastAsia"/>
                <w:color w:val="000000"/>
                <w:kern w:val="0"/>
                <w:sz w:val="24"/>
                <w:szCs w:val="24"/>
              </w:rPr>
              <w:br/>
              <w:t>（12）★UPS系统的所有模块，如旁路单元、控制单元、功率单元、充电单元等均须支持在线热插拔。UPS旁路和监控单元在线插拔后，不会影响功率模块运行，以保证后端负载不断电正常工作。需提供制造商承诺函并加盖公章。</w:t>
            </w:r>
            <w:r w:rsidRPr="00252616">
              <w:rPr>
                <w:rFonts w:ascii="仿宋" w:eastAsia="仿宋" w:hAnsi="仿宋" w:cs="宋体" w:hint="eastAsia"/>
                <w:color w:val="000000"/>
                <w:kern w:val="0"/>
                <w:sz w:val="24"/>
                <w:szCs w:val="24"/>
              </w:rPr>
              <w:br/>
              <w:t>（13）★为便于操作和维护，系统显示须采用10英寸及以上LCD大屏幕触摸彩色屏显示方式。</w:t>
            </w:r>
            <w:r w:rsidRPr="00252616">
              <w:rPr>
                <w:rFonts w:ascii="仿宋" w:eastAsia="仿宋" w:hAnsi="仿宋" w:cs="宋体" w:hint="eastAsia"/>
                <w:color w:val="000000"/>
                <w:kern w:val="0"/>
                <w:sz w:val="24"/>
                <w:szCs w:val="24"/>
              </w:rPr>
              <w:br/>
              <w:t>（14）★UPS的每个功率模块对关键发热器件点位进行实时温度监测，包含整流IGBT温度、逆变IGBT温度、进风口温度、出风口温度等，需提供同系列产品国家认可的权威机构出具的具有CNAS 标识的检测报告证明并加盖所投品牌厂商公章。</w:t>
            </w:r>
            <w:r w:rsidRPr="00252616">
              <w:rPr>
                <w:rFonts w:ascii="仿宋" w:eastAsia="仿宋" w:hAnsi="仿宋" w:cs="宋体" w:hint="eastAsia"/>
                <w:color w:val="000000"/>
                <w:kern w:val="0"/>
                <w:sz w:val="24"/>
                <w:szCs w:val="24"/>
              </w:rPr>
              <w:br/>
              <w:t>（15）★UPS热设计余量大，25℃工况下，100%负载自老化时，整流A.B.C相IGBT温度、逆变A.B.C相IGBT温度、进风口温度、出风口温度等最高温度均不超过78℃，可以现场演示。</w:t>
            </w:r>
            <w:r w:rsidRPr="00252616">
              <w:rPr>
                <w:rFonts w:ascii="仿宋" w:eastAsia="仿宋" w:hAnsi="仿宋" w:cs="宋体" w:hint="eastAsia"/>
                <w:color w:val="000000"/>
                <w:kern w:val="0"/>
                <w:sz w:val="24"/>
                <w:szCs w:val="24"/>
              </w:rPr>
              <w:br/>
              <w:t>（16）★UPS具备实现监测每一节蓄电池的电压、内阻、温度信息的功能，可在 UPS 的屏幕上实时显示，需提供同系列产品国家认可的权威机构出具的具有CNAS 标识的检测报告证</w:t>
            </w:r>
            <w:r w:rsidRPr="00252616">
              <w:rPr>
                <w:rFonts w:ascii="仿宋" w:eastAsia="仿宋" w:hAnsi="仿宋" w:cs="宋体" w:hint="eastAsia"/>
                <w:color w:val="000000"/>
                <w:kern w:val="0"/>
                <w:sz w:val="24"/>
                <w:szCs w:val="24"/>
              </w:rPr>
              <w:lastRenderedPageBreak/>
              <w:t>明并加盖所投品牌厂商公章。</w:t>
            </w:r>
          </w:p>
        </w:tc>
      </w:tr>
      <w:tr w:rsidR="00252616" w:rsidRPr="00252616" w14:paraId="71F04384" w14:textId="77777777" w:rsidTr="009727CC">
        <w:trPr>
          <w:trHeight w:val="450"/>
        </w:trPr>
        <w:tc>
          <w:tcPr>
            <w:tcW w:w="352" w:type="pct"/>
            <w:vAlign w:val="center"/>
          </w:tcPr>
          <w:p w14:paraId="0A541559" w14:textId="3A89CB8A"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9</w:t>
            </w:r>
          </w:p>
        </w:tc>
        <w:tc>
          <w:tcPr>
            <w:tcW w:w="705" w:type="pct"/>
            <w:shd w:val="clear" w:color="auto" w:fill="auto"/>
            <w:vAlign w:val="center"/>
            <w:hideMark/>
          </w:tcPr>
          <w:p w14:paraId="41F5634A" w14:textId="62F9202C"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UPS功率模块</w:t>
            </w:r>
          </w:p>
        </w:tc>
        <w:tc>
          <w:tcPr>
            <w:tcW w:w="352" w:type="pct"/>
            <w:shd w:val="clear" w:color="auto" w:fill="auto"/>
            <w:noWrap/>
            <w:vAlign w:val="center"/>
            <w:hideMark/>
          </w:tcPr>
          <w:p w14:paraId="7DEEF2A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52E022FF"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2</w:t>
            </w:r>
          </w:p>
        </w:tc>
        <w:tc>
          <w:tcPr>
            <w:tcW w:w="3239" w:type="pct"/>
            <w:shd w:val="clear" w:color="auto" w:fill="auto"/>
            <w:vAlign w:val="center"/>
            <w:hideMark/>
          </w:tcPr>
          <w:p w14:paraId="28CA3F6F"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单功率50KVA热插拔功率模块</w:t>
            </w:r>
          </w:p>
        </w:tc>
      </w:tr>
      <w:tr w:rsidR="00252616" w:rsidRPr="00252616" w14:paraId="780131FB" w14:textId="77777777" w:rsidTr="009727CC">
        <w:trPr>
          <w:trHeight w:val="2985"/>
        </w:trPr>
        <w:tc>
          <w:tcPr>
            <w:tcW w:w="352" w:type="pct"/>
            <w:vAlign w:val="center"/>
          </w:tcPr>
          <w:p w14:paraId="2D59C368" w14:textId="12F2F8BE"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705" w:type="pct"/>
            <w:shd w:val="clear" w:color="auto" w:fill="auto"/>
            <w:vAlign w:val="center"/>
            <w:hideMark/>
          </w:tcPr>
          <w:p w14:paraId="295B06A8" w14:textId="56C3B73F"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蓄电池</w:t>
            </w:r>
          </w:p>
        </w:tc>
        <w:tc>
          <w:tcPr>
            <w:tcW w:w="352" w:type="pct"/>
            <w:shd w:val="clear" w:color="auto" w:fill="auto"/>
            <w:noWrap/>
            <w:vAlign w:val="center"/>
            <w:hideMark/>
          </w:tcPr>
          <w:p w14:paraId="241B1D7F"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节</w:t>
            </w:r>
          </w:p>
        </w:tc>
        <w:tc>
          <w:tcPr>
            <w:tcW w:w="352" w:type="pct"/>
            <w:shd w:val="clear" w:color="auto" w:fill="auto"/>
            <w:vAlign w:val="center"/>
            <w:hideMark/>
          </w:tcPr>
          <w:p w14:paraId="3F47490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64</w:t>
            </w:r>
          </w:p>
        </w:tc>
        <w:tc>
          <w:tcPr>
            <w:tcW w:w="3239" w:type="pct"/>
            <w:shd w:val="clear" w:color="auto" w:fill="auto"/>
            <w:vAlign w:val="center"/>
            <w:hideMark/>
          </w:tcPr>
          <w:p w14:paraId="175020A6"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（1）★本项目采用12V200AH铅酸蓄电池64节，为了方便电池后期巡检和维护，蓄电池和UPS应为同一品牌。</w:t>
            </w:r>
            <w:r w:rsidRPr="00252616">
              <w:rPr>
                <w:rFonts w:ascii="仿宋" w:eastAsia="仿宋" w:hAnsi="仿宋" w:cs="宋体" w:hint="eastAsia"/>
                <w:color w:val="000000"/>
                <w:kern w:val="0"/>
                <w:sz w:val="24"/>
                <w:szCs w:val="24"/>
              </w:rPr>
              <w:br/>
              <w:t>（2）★每节电池需配置蓄电池独立监测模块及配套电池组检测主机，并接入原机房动环监控系统平台进行展示其运行数据。</w:t>
            </w:r>
            <w:r w:rsidRPr="00252616">
              <w:rPr>
                <w:rFonts w:ascii="仿宋" w:eastAsia="仿宋" w:hAnsi="仿宋" w:cs="宋体" w:hint="eastAsia"/>
                <w:color w:val="000000"/>
                <w:kern w:val="0"/>
                <w:sz w:val="24"/>
                <w:szCs w:val="24"/>
              </w:rPr>
              <w:br/>
              <w:t>（3）蓄电池正常使用时保持气密和液密状态。当内部气压超过预定值时，安全阀自动开启，释放气体；当内部气压降低后，安全阀自动闭合使其密封，防止外部空气进入蓄电池内部。</w:t>
            </w:r>
            <w:r w:rsidRPr="00252616">
              <w:rPr>
                <w:rFonts w:ascii="仿宋" w:eastAsia="仿宋" w:hAnsi="仿宋" w:cs="宋体" w:hint="eastAsia"/>
                <w:color w:val="000000"/>
                <w:kern w:val="0"/>
                <w:sz w:val="24"/>
                <w:szCs w:val="24"/>
              </w:rPr>
              <w:br/>
              <w:t>（4）★电池容量保存率应≥98%，提供电池泰尔检测报告并加盖所投品牌厂商公章。</w:t>
            </w:r>
            <w:r w:rsidRPr="00252616">
              <w:rPr>
                <w:rFonts w:ascii="仿宋" w:eastAsia="仿宋" w:hAnsi="仿宋" w:cs="宋体" w:hint="eastAsia"/>
                <w:color w:val="000000"/>
                <w:kern w:val="0"/>
                <w:sz w:val="24"/>
                <w:szCs w:val="24"/>
              </w:rPr>
              <w:br/>
              <w:t>（5）★电池密封反应效率应≥97.6%，提供电池泰尔检测报告并加盖所投品牌厂商公章。</w:t>
            </w:r>
            <w:r w:rsidRPr="00252616">
              <w:rPr>
                <w:rFonts w:ascii="仿宋" w:eastAsia="仿宋" w:hAnsi="仿宋" w:cs="宋体" w:hint="eastAsia"/>
                <w:color w:val="000000"/>
                <w:kern w:val="0"/>
                <w:sz w:val="24"/>
                <w:szCs w:val="24"/>
              </w:rPr>
              <w:br/>
              <w:t>（6）★同组蓄电池最大实际容量与最小实际容量差值应≤1.7%，提供电池泰尔检测报告并加盖所投品牌厂商公章。</w:t>
            </w:r>
            <w:r w:rsidRPr="00252616">
              <w:rPr>
                <w:rFonts w:ascii="仿宋" w:eastAsia="仿宋" w:hAnsi="仿宋" w:cs="宋体" w:hint="eastAsia"/>
                <w:color w:val="000000"/>
                <w:kern w:val="0"/>
                <w:sz w:val="24"/>
                <w:szCs w:val="24"/>
              </w:rPr>
              <w:br/>
              <w:t>（7）蓄电池外观应无变形、漏液、裂纹及污迹；标识应清晰；正负端子有明显标志，便于连接。</w:t>
            </w:r>
            <w:r w:rsidRPr="00252616">
              <w:rPr>
                <w:rFonts w:ascii="仿宋" w:eastAsia="仿宋" w:hAnsi="仿宋" w:cs="宋体" w:hint="eastAsia"/>
                <w:color w:val="000000"/>
                <w:kern w:val="0"/>
                <w:sz w:val="24"/>
                <w:szCs w:val="24"/>
              </w:rPr>
              <w:br/>
              <w:t>（8）蓄电池应能承受50kpa的正压或负压而不开裂、不开胶，压力释放后壳体无残余变形。</w:t>
            </w:r>
            <w:r w:rsidRPr="00252616">
              <w:rPr>
                <w:rFonts w:ascii="仿宋" w:eastAsia="仿宋" w:hAnsi="仿宋" w:cs="宋体" w:hint="eastAsia"/>
                <w:color w:val="000000"/>
                <w:kern w:val="0"/>
                <w:sz w:val="24"/>
                <w:szCs w:val="24"/>
              </w:rPr>
              <w:br/>
              <w:t>（9）蓄电池采用高可靠阀控密封式设计，确保电池不漏（渗）液、无酸雾、不腐蚀，并在充电时产生的气体基本被吸收还原成电解液，在使用时无需加水、补液。</w:t>
            </w:r>
            <w:r w:rsidRPr="00252616">
              <w:rPr>
                <w:rFonts w:ascii="仿宋" w:eastAsia="仿宋" w:hAnsi="仿宋" w:cs="宋体" w:hint="eastAsia"/>
                <w:color w:val="000000"/>
                <w:kern w:val="0"/>
                <w:sz w:val="24"/>
                <w:szCs w:val="24"/>
              </w:rPr>
              <w:br/>
              <w:t>（10）安全阀应具有自动开启和自动关闭的功能，其开阀压力应在 10kPa～35kPa 范围内，闭阀压力应在3kPa～30kPa 范围内。</w:t>
            </w:r>
          </w:p>
        </w:tc>
      </w:tr>
      <w:tr w:rsidR="00252616" w:rsidRPr="00252616" w14:paraId="50790A5E" w14:textId="77777777" w:rsidTr="009727CC">
        <w:trPr>
          <w:trHeight w:val="450"/>
        </w:trPr>
        <w:tc>
          <w:tcPr>
            <w:tcW w:w="352" w:type="pct"/>
            <w:vAlign w:val="center"/>
          </w:tcPr>
          <w:p w14:paraId="058A4B4E" w14:textId="5DDBC6CB"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p>
        </w:tc>
        <w:tc>
          <w:tcPr>
            <w:tcW w:w="705" w:type="pct"/>
            <w:shd w:val="clear" w:color="auto" w:fill="auto"/>
            <w:vAlign w:val="center"/>
            <w:hideMark/>
          </w:tcPr>
          <w:p w14:paraId="60E7546E" w14:textId="67AA2640"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电池架</w:t>
            </w:r>
          </w:p>
        </w:tc>
        <w:tc>
          <w:tcPr>
            <w:tcW w:w="352" w:type="pct"/>
            <w:shd w:val="clear" w:color="auto" w:fill="auto"/>
            <w:noWrap/>
            <w:vAlign w:val="center"/>
            <w:hideMark/>
          </w:tcPr>
          <w:p w14:paraId="259EEFAE"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5D5DB96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2</w:t>
            </w:r>
          </w:p>
        </w:tc>
        <w:tc>
          <w:tcPr>
            <w:tcW w:w="3239" w:type="pct"/>
            <w:shd w:val="clear" w:color="auto" w:fill="auto"/>
            <w:vAlign w:val="center"/>
            <w:hideMark/>
          </w:tcPr>
          <w:p w14:paraId="04587479"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定制32节电池架</w:t>
            </w:r>
          </w:p>
        </w:tc>
      </w:tr>
      <w:tr w:rsidR="00252616" w:rsidRPr="00252616" w14:paraId="5470D847" w14:textId="77777777" w:rsidTr="009727CC">
        <w:trPr>
          <w:trHeight w:val="450"/>
        </w:trPr>
        <w:tc>
          <w:tcPr>
            <w:tcW w:w="352" w:type="pct"/>
            <w:vAlign w:val="center"/>
          </w:tcPr>
          <w:p w14:paraId="7BF27D1B" w14:textId="157674E8"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p>
        </w:tc>
        <w:tc>
          <w:tcPr>
            <w:tcW w:w="705" w:type="pct"/>
            <w:shd w:val="clear" w:color="auto" w:fill="auto"/>
            <w:vAlign w:val="center"/>
            <w:hideMark/>
          </w:tcPr>
          <w:p w14:paraId="4E8F8BC5" w14:textId="2577B1F3"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电池连接铜排</w:t>
            </w:r>
          </w:p>
        </w:tc>
        <w:tc>
          <w:tcPr>
            <w:tcW w:w="352" w:type="pct"/>
            <w:shd w:val="clear" w:color="auto" w:fill="auto"/>
            <w:noWrap/>
            <w:vAlign w:val="center"/>
            <w:hideMark/>
          </w:tcPr>
          <w:p w14:paraId="73F1D35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1F44A09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2</w:t>
            </w:r>
          </w:p>
        </w:tc>
        <w:tc>
          <w:tcPr>
            <w:tcW w:w="3239" w:type="pct"/>
            <w:shd w:val="clear" w:color="auto" w:fill="auto"/>
            <w:vAlign w:val="center"/>
            <w:hideMark/>
          </w:tcPr>
          <w:p w14:paraId="11C52D8B"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电池连接铜排及连接接跨层线，BTH-3*3，BVR-70平方连接线、</w:t>
            </w:r>
          </w:p>
        </w:tc>
      </w:tr>
      <w:tr w:rsidR="00252616" w:rsidRPr="00252616" w14:paraId="76E00C41" w14:textId="77777777" w:rsidTr="009727CC">
        <w:trPr>
          <w:trHeight w:val="450"/>
        </w:trPr>
        <w:tc>
          <w:tcPr>
            <w:tcW w:w="352" w:type="pct"/>
            <w:vAlign w:val="center"/>
          </w:tcPr>
          <w:p w14:paraId="145D32B3" w14:textId="5FDCBCFA"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13</w:t>
            </w:r>
          </w:p>
        </w:tc>
        <w:tc>
          <w:tcPr>
            <w:tcW w:w="705" w:type="pct"/>
            <w:shd w:val="clear" w:color="auto" w:fill="auto"/>
            <w:vAlign w:val="center"/>
            <w:hideMark/>
          </w:tcPr>
          <w:p w14:paraId="08261122" w14:textId="20B6801A"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电池汇流柜</w:t>
            </w:r>
          </w:p>
        </w:tc>
        <w:tc>
          <w:tcPr>
            <w:tcW w:w="352" w:type="pct"/>
            <w:shd w:val="clear" w:color="auto" w:fill="auto"/>
            <w:noWrap/>
            <w:vAlign w:val="center"/>
            <w:hideMark/>
          </w:tcPr>
          <w:p w14:paraId="376C0A1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46CAD0F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770ADD7D"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汇流柜600*600*1500、含800A/3P直流开关+320A/3P 直流 2只</w:t>
            </w:r>
          </w:p>
        </w:tc>
      </w:tr>
      <w:tr w:rsidR="00252616" w:rsidRPr="00252616" w14:paraId="3EF46BB0" w14:textId="77777777" w:rsidTr="009727CC">
        <w:trPr>
          <w:trHeight w:val="450"/>
        </w:trPr>
        <w:tc>
          <w:tcPr>
            <w:tcW w:w="352" w:type="pct"/>
            <w:vAlign w:val="center"/>
          </w:tcPr>
          <w:p w14:paraId="7105A48E" w14:textId="744EC6B8"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14</w:t>
            </w:r>
          </w:p>
        </w:tc>
        <w:tc>
          <w:tcPr>
            <w:tcW w:w="705" w:type="pct"/>
            <w:shd w:val="clear" w:color="auto" w:fill="auto"/>
            <w:vAlign w:val="center"/>
            <w:hideMark/>
          </w:tcPr>
          <w:p w14:paraId="0C42FF98" w14:textId="566EBAEB"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电池连接线</w:t>
            </w:r>
          </w:p>
        </w:tc>
        <w:tc>
          <w:tcPr>
            <w:tcW w:w="352" w:type="pct"/>
            <w:shd w:val="clear" w:color="auto" w:fill="auto"/>
            <w:noWrap/>
            <w:vAlign w:val="center"/>
            <w:hideMark/>
          </w:tcPr>
          <w:p w14:paraId="015425F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1440391D"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7A30D8A7"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BVR-70平方连接线</w:t>
            </w:r>
          </w:p>
        </w:tc>
      </w:tr>
      <w:tr w:rsidR="00252616" w:rsidRPr="00252616" w14:paraId="2C9C9962" w14:textId="77777777" w:rsidTr="009727CC">
        <w:trPr>
          <w:trHeight w:val="450"/>
        </w:trPr>
        <w:tc>
          <w:tcPr>
            <w:tcW w:w="352" w:type="pct"/>
            <w:vAlign w:val="center"/>
          </w:tcPr>
          <w:p w14:paraId="50FE024E" w14:textId="2F2A633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15</w:t>
            </w:r>
          </w:p>
        </w:tc>
        <w:tc>
          <w:tcPr>
            <w:tcW w:w="705" w:type="pct"/>
            <w:shd w:val="clear" w:color="auto" w:fill="auto"/>
            <w:vAlign w:val="center"/>
            <w:hideMark/>
          </w:tcPr>
          <w:p w14:paraId="41D423DE" w14:textId="0086DDF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电池连接线</w:t>
            </w:r>
          </w:p>
        </w:tc>
        <w:tc>
          <w:tcPr>
            <w:tcW w:w="352" w:type="pct"/>
            <w:shd w:val="clear" w:color="auto" w:fill="auto"/>
            <w:noWrap/>
            <w:vAlign w:val="center"/>
            <w:hideMark/>
          </w:tcPr>
          <w:p w14:paraId="0270C8D4"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3BD523F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4783F6B7"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BVR-120*2平方连接线</w:t>
            </w:r>
          </w:p>
        </w:tc>
      </w:tr>
      <w:tr w:rsidR="00252616" w:rsidRPr="00252616" w14:paraId="54068DB7" w14:textId="77777777" w:rsidTr="009727CC">
        <w:trPr>
          <w:trHeight w:val="450"/>
        </w:trPr>
        <w:tc>
          <w:tcPr>
            <w:tcW w:w="352" w:type="pct"/>
            <w:vAlign w:val="center"/>
          </w:tcPr>
          <w:p w14:paraId="33A877E4" w14:textId="29946BDF"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16</w:t>
            </w:r>
          </w:p>
        </w:tc>
        <w:tc>
          <w:tcPr>
            <w:tcW w:w="705" w:type="pct"/>
            <w:shd w:val="clear" w:color="auto" w:fill="auto"/>
            <w:vAlign w:val="center"/>
            <w:hideMark/>
          </w:tcPr>
          <w:p w14:paraId="0EB50259" w14:textId="3BAB3F4E"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相关辅材</w:t>
            </w:r>
          </w:p>
        </w:tc>
        <w:tc>
          <w:tcPr>
            <w:tcW w:w="352" w:type="pct"/>
            <w:shd w:val="clear" w:color="auto" w:fill="auto"/>
            <w:noWrap/>
            <w:vAlign w:val="center"/>
            <w:hideMark/>
          </w:tcPr>
          <w:p w14:paraId="5127B73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7BACC398"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43D4C140"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含各种配件及辅材、含端子保护帽等</w:t>
            </w:r>
          </w:p>
        </w:tc>
      </w:tr>
      <w:tr w:rsidR="00252616" w:rsidRPr="00252616" w14:paraId="09DFC325" w14:textId="77777777" w:rsidTr="009727CC">
        <w:trPr>
          <w:trHeight w:val="450"/>
        </w:trPr>
        <w:tc>
          <w:tcPr>
            <w:tcW w:w="352" w:type="pct"/>
            <w:vAlign w:val="center"/>
          </w:tcPr>
          <w:p w14:paraId="2C94A492" w14:textId="616E0F7C"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17</w:t>
            </w:r>
          </w:p>
        </w:tc>
        <w:tc>
          <w:tcPr>
            <w:tcW w:w="705" w:type="pct"/>
            <w:shd w:val="clear" w:color="auto" w:fill="auto"/>
            <w:vAlign w:val="center"/>
            <w:hideMark/>
          </w:tcPr>
          <w:p w14:paraId="1A777AAD" w14:textId="610C3686"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机柜电缆</w:t>
            </w:r>
          </w:p>
        </w:tc>
        <w:tc>
          <w:tcPr>
            <w:tcW w:w="352" w:type="pct"/>
            <w:shd w:val="clear" w:color="auto" w:fill="auto"/>
            <w:noWrap/>
            <w:vAlign w:val="center"/>
            <w:hideMark/>
          </w:tcPr>
          <w:p w14:paraId="74AA067A"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39C7690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125</w:t>
            </w:r>
          </w:p>
        </w:tc>
        <w:tc>
          <w:tcPr>
            <w:tcW w:w="3239" w:type="pct"/>
            <w:shd w:val="clear" w:color="auto" w:fill="auto"/>
            <w:vAlign w:val="center"/>
            <w:hideMark/>
          </w:tcPr>
          <w:p w14:paraId="0AD0DDF5"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WDZC-YJY-3*10mm2</w:t>
            </w:r>
          </w:p>
        </w:tc>
      </w:tr>
      <w:tr w:rsidR="00252616" w:rsidRPr="00252616" w14:paraId="11C50887" w14:textId="77777777" w:rsidTr="009727CC">
        <w:trPr>
          <w:trHeight w:val="450"/>
        </w:trPr>
        <w:tc>
          <w:tcPr>
            <w:tcW w:w="352" w:type="pct"/>
            <w:vAlign w:val="center"/>
          </w:tcPr>
          <w:p w14:paraId="38BAD934" w14:textId="1B5FFEBE"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18</w:t>
            </w:r>
          </w:p>
        </w:tc>
        <w:tc>
          <w:tcPr>
            <w:tcW w:w="705" w:type="pct"/>
            <w:shd w:val="clear" w:color="auto" w:fill="auto"/>
            <w:vAlign w:val="center"/>
            <w:hideMark/>
          </w:tcPr>
          <w:p w14:paraId="684E0C53" w14:textId="5D7A5279"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机柜电缆</w:t>
            </w:r>
          </w:p>
        </w:tc>
        <w:tc>
          <w:tcPr>
            <w:tcW w:w="352" w:type="pct"/>
            <w:shd w:val="clear" w:color="auto" w:fill="auto"/>
            <w:noWrap/>
            <w:vAlign w:val="center"/>
            <w:hideMark/>
          </w:tcPr>
          <w:p w14:paraId="153BBA9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2F724F62"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70</w:t>
            </w:r>
          </w:p>
        </w:tc>
        <w:tc>
          <w:tcPr>
            <w:tcW w:w="3239" w:type="pct"/>
            <w:shd w:val="clear" w:color="auto" w:fill="auto"/>
            <w:vAlign w:val="center"/>
            <w:hideMark/>
          </w:tcPr>
          <w:p w14:paraId="69F9086C"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WDZC-YJY-5*10mm2</w:t>
            </w:r>
          </w:p>
        </w:tc>
      </w:tr>
      <w:tr w:rsidR="00252616" w:rsidRPr="00252616" w14:paraId="1AC4C9FD" w14:textId="77777777" w:rsidTr="009727CC">
        <w:trPr>
          <w:trHeight w:val="450"/>
        </w:trPr>
        <w:tc>
          <w:tcPr>
            <w:tcW w:w="352" w:type="pct"/>
            <w:vAlign w:val="center"/>
          </w:tcPr>
          <w:p w14:paraId="64F297BA" w14:textId="7419EED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19</w:t>
            </w:r>
          </w:p>
        </w:tc>
        <w:tc>
          <w:tcPr>
            <w:tcW w:w="705" w:type="pct"/>
            <w:shd w:val="clear" w:color="auto" w:fill="auto"/>
            <w:vAlign w:val="center"/>
            <w:hideMark/>
          </w:tcPr>
          <w:p w14:paraId="4EE4EF18" w14:textId="732B7348"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其它电缆</w:t>
            </w:r>
          </w:p>
        </w:tc>
        <w:tc>
          <w:tcPr>
            <w:tcW w:w="352" w:type="pct"/>
            <w:shd w:val="clear" w:color="auto" w:fill="auto"/>
            <w:noWrap/>
            <w:vAlign w:val="center"/>
            <w:hideMark/>
          </w:tcPr>
          <w:p w14:paraId="3FB55392"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2A53D87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702A1DC4"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转接线、机柜跳线、旧UPS到旧机柜连接线更换。</w:t>
            </w:r>
          </w:p>
        </w:tc>
      </w:tr>
      <w:tr w:rsidR="00252616" w:rsidRPr="00252616" w14:paraId="73DBE8E8" w14:textId="77777777" w:rsidTr="009727CC">
        <w:trPr>
          <w:trHeight w:val="450"/>
        </w:trPr>
        <w:tc>
          <w:tcPr>
            <w:tcW w:w="352" w:type="pct"/>
            <w:vAlign w:val="center"/>
          </w:tcPr>
          <w:p w14:paraId="0A9EC2D1" w14:textId="781430DF"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20</w:t>
            </w:r>
          </w:p>
        </w:tc>
        <w:tc>
          <w:tcPr>
            <w:tcW w:w="705" w:type="pct"/>
            <w:shd w:val="clear" w:color="auto" w:fill="auto"/>
            <w:vAlign w:val="center"/>
            <w:hideMark/>
          </w:tcPr>
          <w:p w14:paraId="0A85A40A" w14:textId="49B39D1A"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PDU</w:t>
            </w:r>
          </w:p>
        </w:tc>
        <w:tc>
          <w:tcPr>
            <w:tcW w:w="352" w:type="pct"/>
            <w:shd w:val="clear" w:color="auto" w:fill="auto"/>
            <w:noWrap/>
            <w:vAlign w:val="center"/>
            <w:hideMark/>
          </w:tcPr>
          <w:p w14:paraId="43F2BECB"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批</w:t>
            </w:r>
          </w:p>
        </w:tc>
        <w:tc>
          <w:tcPr>
            <w:tcW w:w="352" w:type="pct"/>
            <w:shd w:val="clear" w:color="auto" w:fill="auto"/>
            <w:vAlign w:val="center"/>
            <w:hideMark/>
          </w:tcPr>
          <w:p w14:paraId="528E3D33"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10</w:t>
            </w:r>
          </w:p>
        </w:tc>
        <w:tc>
          <w:tcPr>
            <w:tcW w:w="3239" w:type="pct"/>
            <w:shd w:val="clear" w:color="auto" w:fill="auto"/>
            <w:vAlign w:val="center"/>
            <w:hideMark/>
          </w:tcPr>
          <w:p w14:paraId="1C07D750"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输入220V/32A，输出12位10A，12位16A，指示灯，接线盒</w:t>
            </w:r>
          </w:p>
        </w:tc>
      </w:tr>
      <w:tr w:rsidR="00252616" w:rsidRPr="00252616" w14:paraId="09A74603" w14:textId="77777777" w:rsidTr="009727CC">
        <w:trPr>
          <w:trHeight w:val="450"/>
        </w:trPr>
        <w:tc>
          <w:tcPr>
            <w:tcW w:w="352" w:type="pct"/>
            <w:vAlign w:val="center"/>
          </w:tcPr>
          <w:p w14:paraId="4FC0812C" w14:textId="5ECCF6C3"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21</w:t>
            </w:r>
          </w:p>
        </w:tc>
        <w:tc>
          <w:tcPr>
            <w:tcW w:w="705" w:type="pct"/>
            <w:shd w:val="clear" w:color="auto" w:fill="auto"/>
            <w:vAlign w:val="center"/>
            <w:hideMark/>
          </w:tcPr>
          <w:p w14:paraId="56830C1C" w14:textId="07A493A3"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PDU</w:t>
            </w:r>
          </w:p>
        </w:tc>
        <w:tc>
          <w:tcPr>
            <w:tcW w:w="352" w:type="pct"/>
            <w:shd w:val="clear" w:color="auto" w:fill="auto"/>
            <w:noWrap/>
            <w:vAlign w:val="center"/>
            <w:hideMark/>
          </w:tcPr>
          <w:p w14:paraId="7C746383"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条</w:t>
            </w:r>
          </w:p>
        </w:tc>
        <w:tc>
          <w:tcPr>
            <w:tcW w:w="352" w:type="pct"/>
            <w:shd w:val="clear" w:color="auto" w:fill="auto"/>
            <w:vAlign w:val="center"/>
            <w:hideMark/>
          </w:tcPr>
          <w:p w14:paraId="181A9486"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8</w:t>
            </w:r>
          </w:p>
        </w:tc>
        <w:tc>
          <w:tcPr>
            <w:tcW w:w="3239" w:type="pct"/>
            <w:shd w:val="clear" w:color="auto" w:fill="auto"/>
            <w:vAlign w:val="center"/>
            <w:hideMark/>
          </w:tcPr>
          <w:p w14:paraId="152D65CE"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输入380V/63A，输出12位10A，12位16A，指示灯，接线盒</w:t>
            </w:r>
          </w:p>
        </w:tc>
      </w:tr>
      <w:tr w:rsidR="00252616" w:rsidRPr="00252616" w14:paraId="6D4E2D5D" w14:textId="77777777" w:rsidTr="009727CC">
        <w:trPr>
          <w:trHeight w:val="450"/>
        </w:trPr>
        <w:tc>
          <w:tcPr>
            <w:tcW w:w="352" w:type="pct"/>
            <w:vAlign w:val="center"/>
          </w:tcPr>
          <w:p w14:paraId="504DC75C" w14:textId="0527980C"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22</w:t>
            </w:r>
          </w:p>
        </w:tc>
        <w:tc>
          <w:tcPr>
            <w:tcW w:w="705" w:type="pct"/>
            <w:shd w:val="clear" w:color="auto" w:fill="auto"/>
            <w:vAlign w:val="center"/>
            <w:hideMark/>
          </w:tcPr>
          <w:p w14:paraId="7135A113" w14:textId="27284E3A"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工业连接器</w:t>
            </w:r>
          </w:p>
        </w:tc>
        <w:tc>
          <w:tcPr>
            <w:tcW w:w="352" w:type="pct"/>
            <w:shd w:val="clear" w:color="auto" w:fill="auto"/>
            <w:noWrap/>
            <w:vAlign w:val="center"/>
            <w:hideMark/>
          </w:tcPr>
          <w:p w14:paraId="31715AC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条</w:t>
            </w:r>
          </w:p>
        </w:tc>
        <w:tc>
          <w:tcPr>
            <w:tcW w:w="352" w:type="pct"/>
            <w:shd w:val="clear" w:color="auto" w:fill="auto"/>
            <w:vAlign w:val="center"/>
            <w:hideMark/>
          </w:tcPr>
          <w:p w14:paraId="64B3538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10</w:t>
            </w:r>
          </w:p>
        </w:tc>
        <w:tc>
          <w:tcPr>
            <w:tcW w:w="3239" w:type="pct"/>
            <w:shd w:val="clear" w:color="auto" w:fill="auto"/>
            <w:vAlign w:val="center"/>
            <w:hideMark/>
          </w:tcPr>
          <w:p w14:paraId="4F438B92"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63A/220V/3P/IP44</w:t>
            </w:r>
          </w:p>
        </w:tc>
      </w:tr>
      <w:tr w:rsidR="00252616" w:rsidRPr="00252616" w14:paraId="6A2D1DC0" w14:textId="77777777" w:rsidTr="009727CC">
        <w:trPr>
          <w:trHeight w:val="450"/>
        </w:trPr>
        <w:tc>
          <w:tcPr>
            <w:tcW w:w="352" w:type="pct"/>
            <w:vAlign w:val="center"/>
          </w:tcPr>
          <w:p w14:paraId="59121C19" w14:textId="45CD1C16"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23</w:t>
            </w:r>
          </w:p>
        </w:tc>
        <w:tc>
          <w:tcPr>
            <w:tcW w:w="705" w:type="pct"/>
            <w:shd w:val="clear" w:color="auto" w:fill="auto"/>
            <w:vAlign w:val="center"/>
            <w:hideMark/>
          </w:tcPr>
          <w:p w14:paraId="6B2F3401" w14:textId="52E5E86A"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工业连接器</w:t>
            </w:r>
          </w:p>
        </w:tc>
        <w:tc>
          <w:tcPr>
            <w:tcW w:w="352" w:type="pct"/>
            <w:shd w:val="clear" w:color="auto" w:fill="auto"/>
            <w:noWrap/>
            <w:vAlign w:val="center"/>
            <w:hideMark/>
          </w:tcPr>
          <w:p w14:paraId="0CEB07DF"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2F99B314"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8</w:t>
            </w:r>
          </w:p>
        </w:tc>
        <w:tc>
          <w:tcPr>
            <w:tcW w:w="3239" w:type="pct"/>
            <w:shd w:val="clear" w:color="auto" w:fill="auto"/>
            <w:vAlign w:val="center"/>
            <w:hideMark/>
          </w:tcPr>
          <w:p w14:paraId="4684A7FB"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63A/380V/5P/IP44</w:t>
            </w:r>
          </w:p>
        </w:tc>
      </w:tr>
      <w:tr w:rsidR="00252616" w:rsidRPr="00252616" w14:paraId="7129E716" w14:textId="77777777" w:rsidTr="009727CC">
        <w:trPr>
          <w:trHeight w:val="450"/>
        </w:trPr>
        <w:tc>
          <w:tcPr>
            <w:tcW w:w="352" w:type="pct"/>
            <w:vAlign w:val="center"/>
          </w:tcPr>
          <w:p w14:paraId="1AC7CB18" w14:textId="758FA66D"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24</w:t>
            </w:r>
          </w:p>
        </w:tc>
        <w:tc>
          <w:tcPr>
            <w:tcW w:w="705" w:type="pct"/>
            <w:shd w:val="clear" w:color="auto" w:fill="auto"/>
            <w:vAlign w:val="center"/>
            <w:hideMark/>
          </w:tcPr>
          <w:p w14:paraId="5FDB3939" w14:textId="26CCD302"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设备接地</w:t>
            </w:r>
          </w:p>
        </w:tc>
        <w:tc>
          <w:tcPr>
            <w:tcW w:w="352" w:type="pct"/>
            <w:shd w:val="clear" w:color="auto" w:fill="auto"/>
            <w:noWrap/>
            <w:vAlign w:val="center"/>
            <w:hideMark/>
          </w:tcPr>
          <w:p w14:paraId="782F1DD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4297BA29"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42F2A17C"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新增机柜设备接地</w:t>
            </w:r>
          </w:p>
        </w:tc>
      </w:tr>
      <w:tr w:rsidR="00252616" w:rsidRPr="00252616" w14:paraId="2551CDB6" w14:textId="77777777" w:rsidTr="009727CC">
        <w:trPr>
          <w:trHeight w:val="675"/>
        </w:trPr>
        <w:tc>
          <w:tcPr>
            <w:tcW w:w="352" w:type="pct"/>
            <w:vAlign w:val="center"/>
          </w:tcPr>
          <w:p w14:paraId="5C945A54" w14:textId="04AC0284"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25</w:t>
            </w:r>
          </w:p>
        </w:tc>
        <w:tc>
          <w:tcPr>
            <w:tcW w:w="705" w:type="pct"/>
            <w:shd w:val="clear" w:color="auto" w:fill="auto"/>
            <w:vAlign w:val="center"/>
            <w:hideMark/>
          </w:tcPr>
          <w:p w14:paraId="6F933D69" w14:textId="7DC7299D"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机柜及冷通道组件</w:t>
            </w:r>
          </w:p>
        </w:tc>
        <w:tc>
          <w:tcPr>
            <w:tcW w:w="352" w:type="pct"/>
            <w:shd w:val="clear" w:color="auto" w:fill="auto"/>
            <w:noWrap/>
            <w:vAlign w:val="center"/>
            <w:hideMark/>
          </w:tcPr>
          <w:p w14:paraId="7EA7E04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0952E1E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10</w:t>
            </w:r>
          </w:p>
        </w:tc>
        <w:tc>
          <w:tcPr>
            <w:tcW w:w="3239" w:type="pct"/>
            <w:shd w:val="clear" w:color="auto" w:fill="auto"/>
            <w:vAlign w:val="center"/>
            <w:hideMark/>
          </w:tcPr>
          <w:p w14:paraId="357A0655"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机柜规格：600*1000*2000，配置冷通道组件；与原机柜外观与风格一致，两侧带侧板；与原样式与风格保持一致，玻璃天窗、天窗支撑件、配套天窗门磁等。</w:t>
            </w:r>
          </w:p>
        </w:tc>
      </w:tr>
      <w:tr w:rsidR="00252616" w:rsidRPr="00252616" w14:paraId="7BF673E1" w14:textId="77777777" w:rsidTr="009727CC">
        <w:trPr>
          <w:trHeight w:val="1125"/>
        </w:trPr>
        <w:tc>
          <w:tcPr>
            <w:tcW w:w="352" w:type="pct"/>
            <w:vAlign w:val="center"/>
          </w:tcPr>
          <w:p w14:paraId="190CB5E7" w14:textId="701ADE77"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26</w:t>
            </w:r>
          </w:p>
        </w:tc>
        <w:tc>
          <w:tcPr>
            <w:tcW w:w="705" w:type="pct"/>
            <w:shd w:val="clear" w:color="auto" w:fill="auto"/>
            <w:vAlign w:val="center"/>
            <w:hideMark/>
          </w:tcPr>
          <w:p w14:paraId="4E4D88FF" w14:textId="425A30BE"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综合布线系统</w:t>
            </w:r>
          </w:p>
        </w:tc>
        <w:tc>
          <w:tcPr>
            <w:tcW w:w="352" w:type="pct"/>
            <w:shd w:val="clear" w:color="auto" w:fill="auto"/>
            <w:noWrap/>
            <w:vAlign w:val="center"/>
            <w:hideMark/>
          </w:tcPr>
          <w:p w14:paraId="0F8D7C3A"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套</w:t>
            </w:r>
          </w:p>
        </w:tc>
        <w:tc>
          <w:tcPr>
            <w:tcW w:w="352" w:type="pct"/>
            <w:shd w:val="clear" w:color="auto" w:fill="auto"/>
            <w:vAlign w:val="center"/>
            <w:hideMark/>
          </w:tcPr>
          <w:p w14:paraId="41E36B87"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28B32746"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10米单模单纤跳线-主干互连</w:t>
            </w:r>
            <w:r w:rsidRPr="00252616">
              <w:rPr>
                <w:rFonts w:ascii="仿宋" w:eastAsia="仿宋" w:hAnsi="仿宋" w:cs="宋体" w:hint="eastAsia"/>
                <w:color w:val="000000"/>
                <w:kern w:val="0"/>
                <w:sz w:val="24"/>
                <w:szCs w:val="24"/>
              </w:rPr>
              <w:br/>
              <w:t>超六非屏蔽24口配线架（满配模块）</w:t>
            </w:r>
            <w:r w:rsidRPr="00252616">
              <w:rPr>
                <w:rFonts w:ascii="仿宋" w:eastAsia="仿宋" w:hAnsi="仿宋" w:cs="宋体" w:hint="eastAsia"/>
                <w:color w:val="000000"/>
                <w:kern w:val="0"/>
                <w:sz w:val="24"/>
                <w:szCs w:val="24"/>
              </w:rPr>
              <w:br/>
              <w:t>1U理线环，超六类非屏蔽跳线, 2米,</w:t>
            </w:r>
            <w:r w:rsidRPr="00252616">
              <w:rPr>
                <w:rFonts w:ascii="仿宋" w:eastAsia="仿宋" w:hAnsi="仿宋" w:cs="宋体" w:hint="eastAsia"/>
                <w:color w:val="000000"/>
                <w:kern w:val="0"/>
                <w:sz w:val="24"/>
                <w:szCs w:val="24"/>
              </w:rPr>
              <w:br/>
              <w:t>超六类非屏蔽跳线, 3米, 超六类非屏蔽双绞线,LSOH，610m；</w:t>
            </w:r>
            <w:r w:rsidRPr="00252616">
              <w:rPr>
                <w:rFonts w:ascii="仿宋" w:eastAsia="仿宋" w:hAnsi="仿宋" w:cs="宋体" w:hint="eastAsia"/>
                <w:color w:val="000000"/>
                <w:kern w:val="0"/>
                <w:sz w:val="24"/>
                <w:szCs w:val="24"/>
              </w:rPr>
              <w:br/>
              <w:t>提供≥16个25GbE光模块，≥8个10GbE光模块，确保与核心网络设备的兼容性。</w:t>
            </w:r>
          </w:p>
        </w:tc>
      </w:tr>
      <w:tr w:rsidR="00252616" w:rsidRPr="00252616" w14:paraId="480ACFA0" w14:textId="77777777" w:rsidTr="009727CC">
        <w:trPr>
          <w:trHeight w:val="450"/>
        </w:trPr>
        <w:tc>
          <w:tcPr>
            <w:tcW w:w="352" w:type="pct"/>
            <w:vAlign w:val="center"/>
          </w:tcPr>
          <w:p w14:paraId="1B042650" w14:textId="03666040"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27</w:t>
            </w:r>
          </w:p>
        </w:tc>
        <w:tc>
          <w:tcPr>
            <w:tcW w:w="705" w:type="pct"/>
            <w:shd w:val="clear" w:color="auto" w:fill="auto"/>
            <w:vAlign w:val="center"/>
            <w:hideMark/>
          </w:tcPr>
          <w:p w14:paraId="38C87B92" w14:textId="17AB2055"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进户电缆改造</w:t>
            </w:r>
          </w:p>
        </w:tc>
        <w:tc>
          <w:tcPr>
            <w:tcW w:w="352" w:type="pct"/>
            <w:shd w:val="clear" w:color="auto" w:fill="auto"/>
            <w:noWrap/>
            <w:vAlign w:val="center"/>
            <w:hideMark/>
          </w:tcPr>
          <w:p w14:paraId="7E395B3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米</w:t>
            </w:r>
          </w:p>
        </w:tc>
        <w:tc>
          <w:tcPr>
            <w:tcW w:w="352" w:type="pct"/>
            <w:shd w:val="clear" w:color="auto" w:fill="auto"/>
            <w:vAlign w:val="center"/>
            <w:hideMark/>
          </w:tcPr>
          <w:p w14:paraId="796C47C1"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130</w:t>
            </w:r>
          </w:p>
        </w:tc>
        <w:tc>
          <w:tcPr>
            <w:tcW w:w="3239" w:type="pct"/>
            <w:shd w:val="clear" w:color="auto" w:fill="auto"/>
            <w:vAlign w:val="center"/>
            <w:hideMark/>
          </w:tcPr>
          <w:p w14:paraId="00C60718"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WDZC-YJY-4*185+1*95mm2,从学校配电房引入高功率电缆到实验楼虚拟资源中心306。</w:t>
            </w:r>
          </w:p>
        </w:tc>
      </w:tr>
      <w:tr w:rsidR="00252616" w:rsidRPr="00252616" w14:paraId="339078EC" w14:textId="77777777" w:rsidTr="009727CC">
        <w:trPr>
          <w:trHeight w:val="1554"/>
        </w:trPr>
        <w:tc>
          <w:tcPr>
            <w:tcW w:w="352" w:type="pct"/>
            <w:vAlign w:val="center"/>
          </w:tcPr>
          <w:p w14:paraId="3D94C54A" w14:textId="1EBEB2EE"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28</w:t>
            </w:r>
          </w:p>
        </w:tc>
        <w:tc>
          <w:tcPr>
            <w:tcW w:w="705" w:type="pct"/>
            <w:shd w:val="clear" w:color="auto" w:fill="auto"/>
            <w:vAlign w:val="center"/>
            <w:hideMark/>
          </w:tcPr>
          <w:p w14:paraId="61CC17E6" w14:textId="093E7ED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核心交换机</w:t>
            </w:r>
          </w:p>
        </w:tc>
        <w:tc>
          <w:tcPr>
            <w:tcW w:w="352" w:type="pct"/>
            <w:shd w:val="clear" w:color="auto" w:fill="auto"/>
            <w:noWrap/>
            <w:vAlign w:val="center"/>
            <w:hideMark/>
          </w:tcPr>
          <w:p w14:paraId="6DBDB1A3"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vAlign w:val="center"/>
            <w:hideMark/>
          </w:tcPr>
          <w:p w14:paraId="2154A750"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5E2B05F5"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★基本要求：≥8U框式核心交换机，≥6个板卡槽位，采用无阻塞交换架构，主控单元槽位，支持1+1 热备冗余；交换容量≥4 Tbps；配置≥48个25GbE端口；支持≥6个100GbE端口；支持跨设备链路聚合，智能无损网络，满足RoCE应用高性能需求，支持 RIP、OSPF、ISIS、BGP 等 IPv4 动态路由协议；原生支持 VXLAN 和 BGP-EVPN 协议；原生的随板AC功能，实现全网AP的集中管理和无线流量的统一转发；支持90W PoE++。配置冗余电源，支持扩展卡槽，主控、电源、风扇等所有关键部件均支持冗余备份及热插拔。</w:t>
            </w:r>
            <w:r w:rsidRPr="00252616">
              <w:rPr>
                <w:rFonts w:ascii="仿宋" w:eastAsia="仿宋" w:hAnsi="仿宋" w:cs="宋体" w:hint="eastAsia"/>
                <w:color w:val="000000"/>
                <w:kern w:val="0"/>
                <w:sz w:val="24"/>
                <w:szCs w:val="24"/>
              </w:rPr>
              <w:br/>
              <w:t>★核心网络配套应急管理平台软件：</w:t>
            </w:r>
            <w:r w:rsidRPr="00252616">
              <w:rPr>
                <w:rFonts w:ascii="仿宋" w:eastAsia="仿宋" w:hAnsi="仿宋" w:cs="宋体" w:hint="eastAsia"/>
                <w:color w:val="000000"/>
                <w:kern w:val="0"/>
                <w:sz w:val="24"/>
                <w:szCs w:val="24"/>
              </w:rPr>
              <w:br/>
              <w:t>1、机房智能应急管理功能：市电中断后触发应急响应，平台自动识别，并基于UPS剩余电量精准计算关机窗口，确保在电量耗尽前，平台自动按应急计划流程，通过核心交换机发送指令，自动触发虚拟化和桌面云平台的API，按顺序的关闭虚拟机、桌面云及虚拟化平台的服务器。</w:t>
            </w:r>
            <w:r w:rsidRPr="00252616">
              <w:rPr>
                <w:rFonts w:ascii="仿宋" w:eastAsia="仿宋" w:hAnsi="仿宋" w:cs="宋体" w:hint="eastAsia"/>
                <w:color w:val="000000"/>
                <w:kern w:val="0"/>
                <w:sz w:val="24"/>
                <w:szCs w:val="24"/>
              </w:rPr>
              <w:br/>
              <w:t>2、异常掉电数据保护功能：平台自动调用API接口来刷写缓存数据，并按官方最佳实践自动关闭VMware虚拟化平台的虚拟机、Horizon桌面云平台的桌面，确保虚拟机VMDK磁盘100%一致性，避免数据损坏。</w:t>
            </w:r>
            <w:r w:rsidRPr="00252616">
              <w:rPr>
                <w:rFonts w:ascii="仿宋" w:eastAsia="仿宋" w:hAnsi="仿宋" w:cs="宋体" w:hint="eastAsia"/>
                <w:color w:val="000000"/>
                <w:kern w:val="0"/>
                <w:sz w:val="24"/>
                <w:szCs w:val="24"/>
              </w:rPr>
              <w:br/>
              <w:t>核心网络配套应急管理平台实现无人值守情况下，安全、可靠、高效的关闭整个数据中心基础架构平台及应用系统（提供平台软件官方授权及产品功能证明材料加盖原厂公章，并提供产品的Demo功能演示）。</w:t>
            </w:r>
          </w:p>
        </w:tc>
      </w:tr>
      <w:tr w:rsidR="00252616" w:rsidRPr="00252616" w14:paraId="2A430700" w14:textId="77777777" w:rsidTr="009727CC">
        <w:trPr>
          <w:trHeight w:val="2250"/>
        </w:trPr>
        <w:tc>
          <w:tcPr>
            <w:tcW w:w="352" w:type="pct"/>
            <w:vAlign w:val="center"/>
          </w:tcPr>
          <w:p w14:paraId="2830C51C" w14:textId="1630E926"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29</w:t>
            </w:r>
          </w:p>
        </w:tc>
        <w:tc>
          <w:tcPr>
            <w:tcW w:w="705" w:type="pct"/>
            <w:shd w:val="clear" w:color="auto" w:fill="auto"/>
            <w:vAlign w:val="center"/>
            <w:hideMark/>
          </w:tcPr>
          <w:p w14:paraId="487BC54F" w14:textId="0F6170CB"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服务器搬迁和部署</w:t>
            </w:r>
          </w:p>
        </w:tc>
        <w:tc>
          <w:tcPr>
            <w:tcW w:w="352" w:type="pct"/>
            <w:shd w:val="clear" w:color="auto" w:fill="auto"/>
            <w:noWrap/>
            <w:vAlign w:val="center"/>
            <w:hideMark/>
          </w:tcPr>
          <w:p w14:paraId="4F4D3DCB"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次</w:t>
            </w:r>
          </w:p>
        </w:tc>
        <w:tc>
          <w:tcPr>
            <w:tcW w:w="352" w:type="pct"/>
            <w:shd w:val="clear" w:color="auto" w:fill="auto"/>
            <w:vAlign w:val="center"/>
            <w:hideMark/>
          </w:tcPr>
          <w:p w14:paraId="61486345"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1</w:t>
            </w:r>
          </w:p>
        </w:tc>
        <w:tc>
          <w:tcPr>
            <w:tcW w:w="3239" w:type="pct"/>
            <w:shd w:val="clear" w:color="auto" w:fill="auto"/>
            <w:vAlign w:val="center"/>
            <w:hideMark/>
          </w:tcPr>
          <w:p w14:paraId="75D5E870" w14:textId="77777777"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完成4台VM超融合利旧服务器从弘德楼信息中心机房至实验中心机房的整体搬迁及适配部署工作，具体服务内容如下：</w:t>
            </w:r>
            <w:r w:rsidRPr="00252616">
              <w:rPr>
                <w:rFonts w:ascii="仿宋" w:eastAsia="仿宋" w:hAnsi="仿宋" w:cs="宋体" w:hint="eastAsia"/>
                <w:color w:val="000000"/>
                <w:kern w:val="0"/>
                <w:sz w:val="24"/>
                <w:szCs w:val="24"/>
              </w:rPr>
              <w:br/>
              <w:t>1. 搬迁预处理：完成4台VM超融合服务器业务数据迁移备份，确认数据完整无误后，对设备进行安全下电、拆除网络链路、退网离线处理。</w:t>
            </w:r>
            <w:r w:rsidRPr="00252616">
              <w:rPr>
                <w:rFonts w:ascii="仿宋" w:eastAsia="仿宋" w:hAnsi="仿宋" w:cs="宋体" w:hint="eastAsia"/>
                <w:color w:val="000000"/>
                <w:kern w:val="0"/>
                <w:sz w:val="24"/>
                <w:szCs w:val="24"/>
              </w:rPr>
              <w:br/>
              <w:t>2. 设备搬迁上架：将服务器安全搬运至实验中心机房，完成设备机柜上架、固定安装及基础网络线路对接。</w:t>
            </w:r>
            <w:r w:rsidRPr="00252616">
              <w:rPr>
                <w:rFonts w:ascii="仿宋" w:eastAsia="仿宋" w:hAnsi="仿宋" w:cs="宋体" w:hint="eastAsia"/>
                <w:color w:val="000000"/>
                <w:kern w:val="0"/>
                <w:sz w:val="24"/>
                <w:szCs w:val="24"/>
              </w:rPr>
              <w:br/>
              <w:t>3. 系统部署调试：重新部署服务器虚拟化、桌面云套件及相关安全组件，完成设备初始化配置与环境适配。</w:t>
            </w:r>
            <w:r w:rsidRPr="00252616">
              <w:rPr>
                <w:rFonts w:ascii="仿宋" w:eastAsia="仿宋" w:hAnsi="仿宋" w:cs="宋体" w:hint="eastAsia"/>
                <w:color w:val="000000"/>
                <w:kern w:val="0"/>
                <w:sz w:val="24"/>
                <w:szCs w:val="24"/>
              </w:rPr>
              <w:br/>
              <w:t>4. 测试及集群并入：对部署完成的服务器开展性能、稳定性压力测试，测试合格后将设备并入现有云桌面集群，实现设备统一运维管理，保障业务正常平稳运行。</w:t>
            </w:r>
            <w:r w:rsidRPr="00252616">
              <w:rPr>
                <w:rFonts w:ascii="仿宋" w:eastAsia="仿宋" w:hAnsi="仿宋" w:cs="宋体" w:hint="eastAsia"/>
                <w:color w:val="000000"/>
                <w:kern w:val="0"/>
                <w:sz w:val="24"/>
                <w:szCs w:val="24"/>
              </w:rPr>
              <w:br/>
              <w:t>（★搬迁工程师必须持有VMware VCAP技术认证证书，确保搬迁实施工作，高质量交付，提供工程师认证证书原件及官网查询截图证明）</w:t>
            </w:r>
          </w:p>
        </w:tc>
      </w:tr>
      <w:tr w:rsidR="00252616" w:rsidRPr="00252616" w14:paraId="4A4FC848" w14:textId="77777777" w:rsidTr="009727CC">
        <w:trPr>
          <w:trHeight w:val="1554"/>
        </w:trPr>
        <w:tc>
          <w:tcPr>
            <w:tcW w:w="352" w:type="pct"/>
            <w:vAlign w:val="center"/>
          </w:tcPr>
          <w:p w14:paraId="7061983B" w14:textId="109FF106" w:rsidR="00252616" w:rsidRPr="00252616" w:rsidRDefault="009F3922" w:rsidP="009F392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30</w:t>
            </w:r>
          </w:p>
        </w:tc>
        <w:tc>
          <w:tcPr>
            <w:tcW w:w="705" w:type="pct"/>
            <w:shd w:val="clear" w:color="auto" w:fill="auto"/>
            <w:noWrap/>
            <w:vAlign w:val="center"/>
            <w:hideMark/>
          </w:tcPr>
          <w:p w14:paraId="66B86B0C" w14:textId="7BC2847D"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服务器</w:t>
            </w:r>
          </w:p>
        </w:tc>
        <w:tc>
          <w:tcPr>
            <w:tcW w:w="352" w:type="pct"/>
            <w:shd w:val="clear" w:color="auto" w:fill="auto"/>
            <w:noWrap/>
            <w:vAlign w:val="center"/>
            <w:hideMark/>
          </w:tcPr>
          <w:p w14:paraId="4BEF8C04"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台</w:t>
            </w:r>
          </w:p>
        </w:tc>
        <w:tc>
          <w:tcPr>
            <w:tcW w:w="352" w:type="pct"/>
            <w:shd w:val="clear" w:color="auto" w:fill="auto"/>
            <w:noWrap/>
            <w:vAlign w:val="center"/>
            <w:hideMark/>
          </w:tcPr>
          <w:p w14:paraId="3FDB5B6E" w14:textId="77777777" w:rsidR="00252616" w:rsidRPr="00252616" w:rsidRDefault="00252616" w:rsidP="00252616">
            <w:pPr>
              <w:widowControl/>
              <w:jc w:val="center"/>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2</w:t>
            </w:r>
          </w:p>
        </w:tc>
        <w:tc>
          <w:tcPr>
            <w:tcW w:w="3239" w:type="pct"/>
            <w:shd w:val="clear" w:color="auto" w:fill="auto"/>
            <w:vAlign w:val="center"/>
            <w:hideMark/>
          </w:tcPr>
          <w:p w14:paraId="47EF81B5" w14:textId="1DA31DAC" w:rsidR="00252616" w:rsidRPr="00252616" w:rsidRDefault="00252616" w:rsidP="00252616">
            <w:pPr>
              <w:widowControl/>
              <w:jc w:val="left"/>
              <w:rPr>
                <w:rFonts w:ascii="仿宋" w:eastAsia="仿宋" w:hAnsi="仿宋" w:cs="宋体"/>
                <w:color w:val="000000"/>
                <w:kern w:val="0"/>
                <w:sz w:val="24"/>
                <w:szCs w:val="24"/>
              </w:rPr>
            </w:pPr>
            <w:r w:rsidRPr="00252616">
              <w:rPr>
                <w:rFonts w:ascii="仿宋" w:eastAsia="仿宋" w:hAnsi="仿宋" w:cs="宋体" w:hint="eastAsia"/>
                <w:color w:val="000000"/>
                <w:kern w:val="0"/>
                <w:sz w:val="24"/>
                <w:szCs w:val="24"/>
              </w:rPr>
              <w:t>支持Win10、Win11的新一代服务器。</w:t>
            </w:r>
            <w:r w:rsidRPr="00252616">
              <w:rPr>
                <w:rFonts w:ascii="仿宋" w:eastAsia="仿宋" w:hAnsi="仿宋" w:cs="宋体" w:hint="eastAsia"/>
                <w:color w:val="000000"/>
                <w:kern w:val="0"/>
                <w:sz w:val="24"/>
                <w:szCs w:val="24"/>
              </w:rPr>
              <w:br/>
              <w:t>★硬件基本要求：</w:t>
            </w:r>
            <w:r w:rsidRPr="00252616">
              <w:rPr>
                <w:rFonts w:ascii="仿宋" w:eastAsia="仿宋" w:hAnsi="仿宋" w:cs="宋体" w:hint="eastAsia"/>
                <w:color w:val="000000"/>
                <w:kern w:val="0"/>
                <w:sz w:val="24"/>
                <w:szCs w:val="24"/>
              </w:rPr>
              <w:br/>
              <w:t>2U机架式服务器，LED液晶面板；原厂产品非OEM，厂商在2025年全球服务器厂商销售额排名前5（提供IDC报告）；</w:t>
            </w:r>
            <w:r w:rsidRPr="00252616">
              <w:rPr>
                <w:rFonts w:ascii="仿宋" w:eastAsia="仿宋" w:hAnsi="仿宋" w:cs="宋体" w:hint="eastAsia"/>
                <w:color w:val="000000"/>
                <w:kern w:val="0"/>
                <w:sz w:val="24"/>
                <w:szCs w:val="24"/>
              </w:rPr>
              <w:br/>
              <w:t>2颗Intel英特尔志强扩展Gold系列CPU 6430（每颗≥32core）；</w:t>
            </w:r>
            <w:r w:rsidRPr="00252616">
              <w:rPr>
                <w:rFonts w:ascii="仿宋" w:eastAsia="仿宋" w:hAnsi="仿宋" w:cs="宋体" w:hint="eastAsia"/>
                <w:color w:val="000000"/>
                <w:kern w:val="0"/>
                <w:sz w:val="24"/>
                <w:szCs w:val="24"/>
              </w:rPr>
              <w:br/>
              <w:t>256GB DDR5，原厂单根32G*8；</w:t>
            </w:r>
            <w:r w:rsidRPr="00252616">
              <w:rPr>
                <w:rFonts w:ascii="仿宋" w:eastAsia="仿宋" w:hAnsi="仿宋" w:cs="宋体" w:hint="eastAsia"/>
                <w:color w:val="000000"/>
                <w:kern w:val="0"/>
                <w:sz w:val="24"/>
                <w:szCs w:val="24"/>
              </w:rPr>
              <w:br/>
              <w:t>7块1.2T 10k SAS 2.5寸硬盘；</w:t>
            </w:r>
            <w:r w:rsidRPr="00252616">
              <w:rPr>
                <w:rFonts w:ascii="仿宋" w:eastAsia="仿宋" w:hAnsi="仿宋" w:cs="宋体" w:hint="eastAsia"/>
                <w:color w:val="000000"/>
                <w:kern w:val="0"/>
                <w:sz w:val="24"/>
                <w:szCs w:val="24"/>
              </w:rPr>
              <w:br/>
              <w:t>2块480G SSD系统盘；</w:t>
            </w:r>
            <w:r w:rsidRPr="00252616">
              <w:rPr>
                <w:rFonts w:ascii="仿宋" w:eastAsia="仿宋" w:hAnsi="仿宋" w:cs="宋体" w:hint="eastAsia"/>
                <w:color w:val="000000"/>
                <w:kern w:val="0"/>
                <w:sz w:val="24"/>
                <w:szCs w:val="24"/>
              </w:rPr>
              <w:br/>
              <w:t>1块≥1.6TB NVMe SSD存储阵列卡；1张12G SAS HBA直通阵列卡；</w:t>
            </w:r>
            <w:r w:rsidRPr="00252616">
              <w:rPr>
                <w:rFonts w:ascii="仿宋" w:eastAsia="仿宋" w:hAnsi="仿宋" w:cs="宋体" w:hint="eastAsia"/>
                <w:color w:val="000000"/>
                <w:kern w:val="0"/>
                <w:sz w:val="24"/>
                <w:szCs w:val="24"/>
              </w:rPr>
              <w:br/>
              <w:t>1块NVIDIA 64GB显存GPU卡；</w:t>
            </w:r>
            <w:r w:rsidRPr="00252616">
              <w:rPr>
                <w:rFonts w:ascii="仿宋" w:eastAsia="仿宋" w:hAnsi="仿宋" w:cs="宋体" w:hint="eastAsia"/>
                <w:color w:val="000000"/>
                <w:kern w:val="0"/>
                <w:sz w:val="24"/>
                <w:szCs w:val="24"/>
              </w:rPr>
              <w:br/>
              <w:t>2个1Gb端口、2块双口25G光网卡（含原厂模块）支持RDMA协议；</w:t>
            </w:r>
            <w:r w:rsidRPr="00252616">
              <w:rPr>
                <w:rFonts w:ascii="仿宋" w:eastAsia="仿宋" w:hAnsi="仿宋" w:cs="宋体" w:hint="eastAsia"/>
                <w:color w:val="000000"/>
                <w:kern w:val="0"/>
                <w:sz w:val="24"/>
                <w:szCs w:val="24"/>
              </w:rPr>
              <w:br/>
              <w:t>2个≥2400W热插拔电源，冗余；</w:t>
            </w:r>
            <w:r w:rsidRPr="00252616">
              <w:rPr>
                <w:rFonts w:ascii="仿宋" w:eastAsia="仿宋" w:hAnsi="仿宋" w:cs="宋体" w:hint="eastAsia"/>
                <w:color w:val="000000"/>
                <w:kern w:val="0"/>
                <w:sz w:val="24"/>
                <w:szCs w:val="24"/>
              </w:rPr>
              <w:br/>
              <w:t>至少预留2个PCIE4插槽和2个PCIE5插槽；</w:t>
            </w:r>
            <w:r w:rsidRPr="00252616">
              <w:rPr>
                <w:rFonts w:ascii="仿宋" w:eastAsia="仿宋" w:hAnsi="仿宋" w:cs="宋体" w:hint="eastAsia"/>
                <w:color w:val="000000"/>
                <w:kern w:val="0"/>
                <w:sz w:val="24"/>
                <w:szCs w:val="24"/>
              </w:rPr>
              <w:br/>
              <w:t>★GPU管理软件：GPU虚拟化方案，实现多个用户共享使用单块高性能GPU进行桌面计算任务，每个用户桌面可以分时复用GPU资源，提供1/2、1/4等多种显卡切分模式。（提供官方授权及功能证明材料加盖公章，并提供Demo功能演示）；</w:t>
            </w:r>
            <w:r w:rsidRPr="00252616">
              <w:rPr>
                <w:rFonts w:ascii="仿宋" w:eastAsia="仿宋" w:hAnsi="仿宋" w:cs="宋体" w:hint="eastAsia"/>
                <w:color w:val="000000"/>
                <w:kern w:val="0"/>
                <w:sz w:val="24"/>
                <w:szCs w:val="24"/>
              </w:rPr>
              <w:br/>
              <w:t>★性能管理软件：软件无代理程序，可远程运行，并收集磁盘IO，吞吐量，容量，CPU，内存使用率，IO延时，队列深度，读写比例等指标，支持windows、Linux、Esxi系统，实时监测硬件运行情况；</w:t>
            </w:r>
            <w:r w:rsidRPr="00252616">
              <w:rPr>
                <w:rFonts w:ascii="仿宋" w:eastAsia="仿宋" w:hAnsi="仿宋" w:cs="宋体" w:hint="eastAsia"/>
                <w:color w:val="000000"/>
                <w:kern w:val="0"/>
                <w:sz w:val="24"/>
                <w:szCs w:val="24"/>
              </w:rPr>
              <w:br/>
              <w:t>★管理功能：配置独立的远程管理卡，支持虚拟光驱，本地WIFI和蓝牙方式管理技术，手持移动端管理；可配置服务器原厂APP监控软件，适用于Android或IOS系统，可远程监控和管理服务器，获取警报通知；</w:t>
            </w:r>
            <w:r w:rsidRPr="00252616">
              <w:rPr>
                <w:rFonts w:ascii="仿宋" w:eastAsia="仿宋" w:hAnsi="仿宋" w:cs="宋体" w:hint="eastAsia"/>
                <w:color w:val="000000"/>
                <w:kern w:val="0"/>
                <w:sz w:val="24"/>
                <w:szCs w:val="24"/>
              </w:rPr>
              <w:br/>
            </w:r>
            <w:r w:rsidRPr="00252616">
              <w:rPr>
                <w:rFonts w:ascii="仿宋" w:eastAsia="仿宋" w:hAnsi="仿宋" w:cs="宋体" w:hint="eastAsia"/>
                <w:color w:val="000000"/>
                <w:kern w:val="0"/>
                <w:sz w:val="24"/>
                <w:szCs w:val="24"/>
              </w:rPr>
              <w:lastRenderedPageBreak/>
              <w:t>★服务器机型及配置的SSD盘、HDD盘、存储阵列卡、网卡等关键部件均在VMware vSAN 最新版官方兼容列表，服务器整机3年原厂质保；</w:t>
            </w:r>
            <w:r w:rsidRPr="00252616">
              <w:rPr>
                <w:rFonts w:ascii="仿宋" w:eastAsia="仿宋" w:hAnsi="仿宋" w:cs="宋体" w:hint="eastAsia"/>
                <w:color w:val="000000"/>
                <w:kern w:val="0"/>
                <w:sz w:val="24"/>
                <w:szCs w:val="24"/>
              </w:rPr>
              <w:br/>
              <w:t>★实施要求：</w:t>
            </w:r>
            <w:r w:rsidRPr="00252616">
              <w:rPr>
                <w:rFonts w:ascii="仿宋" w:eastAsia="仿宋" w:hAnsi="仿宋" w:cs="宋体" w:hint="eastAsia"/>
                <w:color w:val="000000"/>
                <w:kern w:val="0"/>
                <w:sz w:val="24"/>
                <w:szCs w:val="24"/>
              </w:rPr>
              <w:br/>
              <w:t>1、配置桌面云集群扩建所需的所有底层软件及许可，并满足永久使用要求。</w:t>
            </w:r>
            <w:r w:rsidRPr="00252616">
              <w:rPr>
                <w:rFonts w:ascii="仿宋" w:eastAsia="仿宋" w:hAnsi="仿宋" w:cs="宋体" w:hint="eastAsia"/>
                <w:color w:val="000000"/>
                <w:kern w:val="0"/>
                <w:sz w:val="24"/>
                <w:szCs w:val="24"/>
              </w:rPr>
              <w:br/>
              <w:t>2、将服务器组成新超融合集群，并入原有桌面云集群，并使用GPU虚拟化功能进行切分，发布带有GPU的高性能win10或win11桌面系统，解决现有软件部署问题，满足各类教学软件运行需求。</w:t>
            </w:r>
            <w:r w:rsidRPr="00252616">
              <w:rPr>
                <w:rFonts w:ascii="仿宋" w:eastAsia="仿宋" w:hAnsi="仿宋" w:cs="宋体" w:hint="eastAsia"/>
                <w:color w:val="000000"/>
                <w:kern w:val="0"/>
                <w:sz w:val="24"/>
                <w:szCs w:val="24"/>
              </w:rPr>
              <w:br/>
              <w:t>3、分批升级原有云桌面架构，调拨部分旧服务器并入服务器虚拟化资源池扩容，解决经管院业务系统性能问题。</w:t>
            </w:r>
            <w:r w:rsidRPr="00252616">
              <w:rPr>
                <w:rFonts w:ascii="仿宋" w:eastAsia="仿宋" w:hAnsi="仿宋" w:cs="宋体" w:hint="eastAsia"/>
                <w:color w:val="000000"/>
                <w:kern w:val="0"/>
                <w:sz w:val="24"/>
                <w:szCs w:val="24"/>
              </w:rPr>
              <w:br/>
              <w:t>4、优化云桌面平台、虚拟化平台，提升集群整体性能，彻底解决教学系统高峰期负载过高、运行卡顿问题。</w:t>
            </w:r>
            <w:r w:rsidRPr="00252616">
              <w:rPr>
                <w:rFonts w:ascii="仿宋" w:eastAsia="仿宋" w:hAnsi="仿宋" w:cs="宋体" w:hint="eastAsia"/>
                <w:color w:val="000000"/>
                <w:kern w:val="0"/>
                <w:sz w:val="24"/>
                <w:szCs w:val="24"/>
              </w:rPr>
              <w:br/>
              <w:t>5、实施过程中，必须确保数据安全，不中断现有桌面云教学任务；制定详细且符合现状的优化升级方案、完善的风险应急预案。</w:t>
            </w:r>
            <w:r w:rsidRPr="00252616">
              <w:rPr>
                <w:rFonts w:ascii="仿宋" w:eastAsia="仿宋" w:hAnsi="仿宋" w:cs="宋体" w:hint="eastAsia"/>
                <w:color w:val="000000"/>
                <w:kern w:val="0"/>
                <w:sz w:val="24"/>
                <w:szCs w:val="24"/>
              </w:rPr>
              <w:br/>
              <w:t>备注：★为必须满足的重要技术参数</w:t>
            </w:r>
          </w:p>
        </w:tc>
      </w:tr>
    </w:tbl>
    <w:p w14:paraId="3DE161BC" w14:textId="39C7A8EF"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p>
    <w:sectPr w:rsidR="00340D0F" w:rsidRPr="00340D0F" w:rsidSect="00F01579">
      <w:pgSz w:w="11907" w:h="16840"/>
      <w:pgMar w:top="1701" w:right="1134" w:bottom="1701" w:left="155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FBF75" w14:textId="77777777" w:rsidR="00D85161" w:rsidRDefault="00D85161" w:rsidP="00060D84">
      <w:r>
        <w:separator/>
      </w:r>
    </w:p>
  </w:endnote>
  <w:endnote w:type="continuationSeparator" w:id="0">
    <w:p w14:paraId="0925D317" w14:textId="77777777" w:rsidR="00D85161" w:rsidRDefault="00D85161"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altName w:val="Palatino"/>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ongti SC">
    <w:altName w:val="Malgun Gothic Semilight"/>
    <w:charset w:val="86"/>
    <w:family w:val="auto"/>
    <w:pitch w:val="default"/>
    <w:sig w:usb0="00000000" w:usb1="080F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DengXian">
    <w:altName w:val="微软雅黑"/>
    <w:charset w:val="86"/>
    <w:family w:val="auto"/>
    <w:pitch w:val="default"/>
    <w:sig w:usb0="00000000" w:usb1="00000000" w:usb2="00000016" w:usb3="00000000" w:csb0="0004000F" w:csb1="00000000"/>
  </w:font>
  <w:font w:name="楷体_GB2312">
    <w:altName w:val="汉仪楷体简"/>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9D6AC" w14:textId="77777777" w:rsidR="00D85161" w:rsidRDefault="00D85161" w:rsidP="00060D84">
      <w:r>
        <w:separator/>
      </w:r>
    </w:p>
  </w:footnote>
  <w:footnote w:type="continuationSeparator" w:id="0">
    <w:p w14:paraId="1B21AF54" w14:textId="77777777" w:rsidR="00D85161" w:rsidRDefault="00D85161"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F76B7"/>
    <w:multiLevelType w:val="singleLevel"/>
    <w:tmpl w:val="B85F76B7"/>
    <w:lvl w:ilvl="0">
      <w:start w:val="1"/>
      <w:numFmt w:val="decimal"/>
      <w:suff w:val="space"/>
      <w:lvlText w:val="%1."/>
      <w:lvlJc w:val="left"/>
    </w:lvl>
  </w:abstractNum>
  <w:abstractNum w:abstractNumId="1">
    <w:nsid w:val="D1E94560"/>
    <w:multiLevelType w:val="singleLevel"/>
    <w:tmpl w:val="D1E94560"/>
    <w:lvl w:ilvl="0">
      <w:start w:val="1"/>
      <w:numFmt w:val="decimal"/>
      <w:suff w:val="space"/>
      <w:lvlText w:val="%1."/>
      <w:lvlJc w:val="left"/>
    </w:lvl>
  </w:abstractNum>
  <w:abstractNum w:abstractNumId="2">
    <w:nsid w:val="EB1AA716"/>
    <w:multiLevelType w:val="singleLevel"/>
    <w:tmpl w:val="EB1AA716"/>
    <w:lvl w:ilvl="0">
      <w:start w:val="1"/>
      <w:numFmt w:val="decimal"/>
      <w:suff w:val="space"/>
      <w:lvlText w:val="%1."/>
      <w:lvlJc w:val="left"/>
    </w:lvl>
  </w:abstractNum>
  <w:abstractNum w:abstractNumId="3">
    <w:nsid w:val="FFFFFF7C"/>
    <w:multiLevelType w:val="singleLevel"/>
    <w:tmpl w:val="FFFFFF7C"/>
    <w:lvl w:ilvl="0">
      <w:start w:val="1"/>
      <w:numFmt w:val="decimal"/>
      <w:pStyle w:val="5"/>
      <w:lvlText w:val="%1."/>
      <w:lvlJc w:val="left"/>
      <w:pPr>
        <w:tabs>
          <w:tab w:val="left" w:pos="2040"/>
        </w:tabs>
        <w:ind w:left="2040" w:hanging="360"/>
      </w:pPr>
    </w:lvl>
  </w:abstractNum>
  <w:abstractNum w:abstractNumId="4">
    <w:nsid w:val="FFFFFF7D"/>
    <w:multiLevelType w:val="singleLevel"/>
    <w:tmpl w:val="FFFFFF7D"/>
    <w:lvl w:ilvl="0">
      <w:start w:val="1"/>
      <w:numFmt w:val="decimal"/>
      <w:pStyle w:val="4"/>
      <w:lvlText w:val="%1."/>
      <w:lvlJc w:val="left"/>
      <w:pPr>
        <w:tabs>
          <w:tab w:val="left" w:pos="1620"/>
        </w:tabs>
        <w:ind w:left="1620" w:hanging="360"/>
      </w:pPr>
    </w:lvl>
  </w:abstractNum>
  <w:abstractNum w:abstractNumId="5">
    <w:nsid w:val="FFFFFF7E"/>
    <w:multiLevelType w:val="singleLevel"/>
    <w:tmpl w:val="FFFFFF7E"/>
    <w:lvl w:ilvl="0">
      <w:start w:val="1"/>
      <w:numFmt w:val="decimal"/>
      <w:pStyle w:val="3"/>
      <w:lvlText w:val="%1."/>
      <w:lvlJc w:val="left"/>
      <w:pPr>
        <w:tabs>
          <w:tab w:val="left" w:pos="1200"/>
        </w:tabs>
        <w:ind w:left="1200" w:hanging="360"/>
      </w:pPr>
    </w:lvl>
  </w:abstractNum>
  <w:abstractNum w:abstractNumId="6">
    <w:nsid w:val="FFFFFF7F"/>
    <w:multiLevelType w:val="singleLevel"/>
    <w:tmpl w:val="FFFFFF7F"/>
    <w:lvl w:ilvl="0">
      <w:start w:val="1"/>
      <w:numFmt w:val="decimal"/>
      <w:pStyle w:val="2"/>
      <w:lvlText w:val="%1."/>
      <w:lvlJc w:val="left"/>
      <w:pPr>
        <w:tabs>
          <w:tab w:val="left" w:pos="780"/>
        </w:tabs>
        <w:ind w:left="780" w:hanging="360"/>
      </w:pPr>
    </w:lvl>
  </w:abstractNum>
  <w:abstractNum w:abstractNumId="7">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8">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9">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3">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0EDB2900"/>
    <w:multiLevelType w:val="multilevel"/>
    <w:tmpl w:val="0EDB2900"/>
    <w:lvl w:ilvl="0">
      <w:start w:val="1"/>
      <w:numFmt w:val="bullet"/>
      <w:pStyle w:val="SubItemList"/>
      <w:lvlText w:val="−"/>
      <w:lvlJc w:val="left"/>
      <w:pPr>
        <w:tabs>
          <w:tab w:val="left" w:pos="2551"/>
        </w:tabs>
        <w:ind w:left="2551" w:hanging="425"/>
      </w:pPr>
      <w:rPr>
        <w:rFonts w:ascii="Times New Roman" w:hAnsi="Times New Roman" w:cs="Times New Roman" w:hint="default"/>
        <w:sz w:val="16"/>
        <w:szCs w:val="16"/>
      </w:rPr>
    </w:lvl>
    <w:lvl w:ilvl="1">
      <w:start w:val="1"/>
      <w:numFmt w:val="ganada"/>
      <w:pStyle w:val="ThirdLevelItemList"/>
      <w:lvlText w:val=""/>
      <w:lvlJc w:val="left"/>
      <w:pPr>
        <w:tabs>
          <w:tab w:val="left" w:pos="2976"/>
        </w:tabs>
        <w:ind w:left="2976" w:hanging="425"/>
      </w:pPr>
      <w:rPr>
        <w:rFonts w:ascii="Wingdings" w:hAnsi="Wingdings" w:cs="Wingdings" w:hint="default"/>
        <w:sz w:val="16"/>
        <w:szCs w:val="16"/>
      </w:rPr>
    </w:lvl>
    <w:lvl w:ilvl="2">
      <w:start w:val="1"/>
      <w:numFmt w:val="bullet"/>
      <w:pStyle w:val="FourthLevelItemLis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5">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264EEB88"/>
    <w:multiLevelType w:val="singleLevel"/>
    <w:tmpl w:val="264EEB88"/>
    <w:lvl w:ilvl="0">
      <w:start w:val="1"/>
      <w:numFmt w:val="decimal"/>
      <w:suff w:val="space"/>
      <w:lvlText w:val="%1."/>
      <w:lvlJc w:val="left"/>
    </w:lvl>
  </w:abstractNum>
  <w:abstractNum w:abstractNumId="17">
    <w:nsid w:val="27727B63"/>
    <w:multiLevelType w:val="multilevel"/>
    <w:tmpl w:val="27727B63"/>
    <w:lvl w:ilvl="0">
      <w:start w:val="1"/>
      <w:numFmt w:val="bullet"/>
      <w:pStyle w:val="NotesTextListinTable"/>
      <w:lvlText w:val=""/>
      <w:lvlJc w:val="left"/>
      <w:pPr>
        <w:tabs>
          <w:tab w:val="left" w:pos="454"/>
        </w:tabs>
        <w:ind w:left="454" w:hanging="284"/>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36186F99"/>
    <w:multiLevelType w:val="multilevel"/>
    <w:tmpl w:val="36186F99"/>
    <w:lvl w:ilvl="0">
      <w:start w:val="2"/>
      <w:numFmt w:val="decimal"/>
      <w:lvlText w:val="%1"/>
      <w:lvlJc w:val="left"/>
      <w:pPr>
        <w:ind w:left="560" w:hanging="560"/>
      </w:pPr>
      <w:rPr>
        <w:rFonts w:hint="eastAsia"/>
      </w:rPr>
    </w:lvl>
    <w:lvl w:ilvl="1">
      <w:start w:val="2"/>
      <w:numFmt w:val="decimal"/>
      <w:lvlText w:val="%1.%2"/>
      <w:lvlJc w:val="left"/>
      <w:pPr>
        <w:ind w:left="560" w:hanging="560"/>
      </w:pPr>
      <w:rPr>
        <w:rFonts w:hint="eastAsia"/>
      </w:rPr>
    </w:lvl>
    <w:lvl w:ilvl="2">
      <w:start w:val="1"/>
      <w:numFmt w:val="decimal"/>
      <w:pStyle w:val="T3"/>
      <w:lvlText w:val="%1.%2.%3"/>
      <w:lvlJc w:val="left"/>
      <w:pPr>
        <w:ind w:left="794" w:hanging="794"/>
      </w:pPr>
      <w:rPr>
        <w:rFonts w:ascii="仿宋" w:eastAsia="仿宋" w:hAnsi="仿宋"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9">
    <w:nsid w:val="38875C82"/>
    <w:multiLevelType w:val="multilevel"/>
    <w:tmpl w:val="38875C82"/>
    <w:lvl w:ilvl="0">
      <w:start w:val="1"/>
      <w:numFmt w:val="decimal"/>
      <w:pStyle w:val="a1"/>
      <w:lvlText w:val="附图%1. "/>
      <w:lvlJc w:val="left"/>
      <w:pPr>
        <w:tabs>
          <w:tab w:val="left" w:pos="4264"/>
        </w:tabs>
        <w:ind w:left="39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EBB3C91"/>
    <w:multiLevelType w:val="multilevel"/>
    <w:tmpl w:val="3EBB3C91"/>
    <w:lvl w:ilvl="0">
      <w:start w:val="1"/>
      <w:numFmt w:val="chineseCountingThousand"/>
      <w:pStyle w:val="41"/>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2"/>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nsid w:val="41C973A7"/>
    <w:multiLevelType w:val="multilevel"/>
    <w:tmpl w:val="41C973A7"/>
    <w:lvl w:ilvl="0">
      <w:start w:val="1"/>
      <w:numFmt w:val="decimal"/>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1C973A8"/>
    <w:multiLevelType w:val="multilevel"/>
    <w:tmpl w:val="41C973A8"/>
    <w:lvl w:ilvl="0">
      <w:start w:val="1"/>
      <w:numFmt w:val="decimal"/>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DDA66D1"/>
    <w:multiLevelType w:val="multilevel"/>
    <w:tmpl w:val="4DDA66D1"/>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pStyle w:val="42"/>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pStyle w:val="52"/>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pStyle w:val="StepinAppendix"/>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5">
    <w:nsid w:val="63156163"/>
    <w:multiLevelType w:val="multilevel"/>
    <w:tmpl w:val="63156163"/>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6">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28">
    <w:nsid w:val="78785850"/>
    <w:multiLevelType w:val="singleLevel"/>
    <w:tmpl w:val="78785850"/>
    <w:lvl w:ilvl="0">
      <w:start w:val="1"/>
      <w:numFmt w:val="decimal"/>
      <w:suff w:val="space"/>
      <w:lvlText w:val="%1."/>
      <w:lvlJc w:val="left"/>
    </w:lvl>
  </w:abstractNum>
  <w:abstractNum w:abstractNumId="29">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25"/>
  </w:num>
  <w:num w:numId="2">
    <w:abstractNumId w:val="6"/>
  </w:num>
  <w:num w:numId="3">
    <w:abstractNumId w:val="8"/>
  </w:num>
  <w:num w:numId="4">
    <w:abstractNumId w:val="11"/>
  </w:num>
  <w:num w:numId="5">
    <w:abstractNumId w:val="12"/>
  </w:num>
  <w:num w:numId="6">
    <w:abstractNumId w:val="9"/>
  </w:num>
  <w:num w:numId="7">
    <w:abstractNumId w:val="5"/>
  </w:num>
  <w:num w:numId="8">
    <w:abstractNumId w:val="10"/>
  </w:num>
  <w:num w:numId="9">
    <w:abstractNumId w:val="7"/>
  </w:num>
  <w:num w:numId="10">
    <w:abstractNumId w:val="4"/>
  </w:num>
  <w:num w:numId="11">
    <w:abstractNumId w:val="3"/>
  </w:num>
  <w:num w:numId="12">
    <w:abstractNumId w:val="24"/>
  </w:num>
  <w:num w:numId="13">
    <w:abstractNumId w:val="15"/>
  </w:num>
  <w:num w:numId="14">
    <w:abstractNumId w:val="27"/>
  </w:num>
  <w:num w:numId="15">
    <w:abstractNumId w:val="29"/>
  </w:num>
  <w:num w:numId="16">
    <w:abstractNumId w:val="13"/>
  </w:num>
  <w:num w:numId="17">
    <w:abstractNumId w:val="14"/>
  </w:num>
  <w:num w:numId="18">
    <w:abstractNumId w:val="17"/>
  </w:num>
  <w:num w:numId="19">
    <w:abstractNumId w:val="21"/>
  </w:num>
  <w:num w:numId="20">
    <w:abstractNumId w:val="23"/>
  </w:num>
  <w:num w:numId="21">
    <w:abstractNumId w:val="26"/>
  </w:num>
  <w:num w:numId="22">
    <w:abstractNumId w:val="22"/>
  </w:num>
  <w:num w:numId="23">
    <w:abstractNumId w:val="18"/>
  </w:num>
  <w:num w:numId="24">
    <w:abstractNumId w:val="20"/>
  </w:num>
  <w:num w:numId="25">
    <w:abstractNumId w:val="19"/>
  </w:num>
  <w:num w:numId="26">
    <w:abstractNumId w:val="0"/>
  </w:num>
  <w:num w:numId="27">
    <w:abstractNumId w:val="1"/>
  </w:num>
  <w:num w:numId="28">
    <w:abstractNumId w:val="28"/>
  </w:num>
  <w:num w:numId="29">
    <w:abstractNumId w:val="16"/>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76E77"/>
    <w:rsid w:val="00091795"/>
    <w:rsid w:val="000B1D4A"/>
    <w:rsid w:val="000B47AE"/>
    <w:rsid w:val="000C0B4B"/>
    <w:rsid w:val="000D1B1B"/>
    <w:rsid w:val="000F3C7B"/>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1F6A03"/>
    <w:rsid w:val="00211C61"/>
    <w:rsid w:val="00222E82"/>
    <w:rsid w:val="00250124"/>
    <w:rsid w:val="00252616"/>
    <w:rsid w:val="0025571B"/>
    <w:rsid w:val="002703D8"/>
    <w:rsid w:val="00270F03"/>
    <w:rsid w:val="00281774"/>
    <w:rsid w:val="002B785F"/>
    <w:rsid w:val="002D37DC"/>
    <w:rsid w:val="002E3027"/>
    <w:rsid w:val="002E3506"/>
    <w:rsid w:val="002E7EFD"/>
    <w:rsid w:val="002F30E8"/>
    <w:rsid w:val="00326E8F"/>
    <w:rsid w:val="00332B0E"/>
    <w:rsid w:val="00340D0F"/>
    <w:rsid w:val="0035405B"/>
    <w:rsid w:val="00354AF6"/>
    <w:rsid w:val="003678EC"/>
    <w:rsid w:val="00384CD8"/>
    <w:rsid w:val="003A242A"/>
    <w:rsid w:val="003B6BB7"/>
    <w:rsid w:val="003D67EF"/>
    <w:rsid w:val="003F5670"/>
    <w:rsid w:val="00412798"/>
    <w:rsid w:val="004138C0"/>
    <w:rsid w:val="00421101"/>
    <w:rsid w:val="004379CF"/>
    <w:rsid w:val="00457B04"/>
    <w:rsid w:val="00461D50"/>
    <w:rsid w:val="004718C5"/>
    <w:rsid w:val="00487B01"/>
    <w:rsid w:val="00495935"/>
    <w:rsid w:val="004A0198"/>
    <w:rsid w:val="004A3173"/>
    <w:rsid w:val="004B46F9"/>
    <w:rsid w:val="004C0233"/>
    <w:rsid w:val="004D7243"/>
    <w:rsid w:val="004E33A7"/>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28B2"/>
    <w:rsid w:val="00597D68"/>
    <w:rsid w:val="005A136B"/>
    <w:rsid w:val="005C1E36"/>
    <w:rsid w:val="005C5E7E"/>
    <w:rsid w:val="005C60FB"/>
    <w:rsid w:val="005C6A46"/>
    <w:rsid w:val="005F4292"/>
    <w:rsid w:val="0060268D"/>
    <w:rsid w:val="00607678"/>
    <w:rsid w:val="00625633"/>
    <w:rsid w:val="00630477"/>
    <w:rsid w:val="006645D7"/>
    <w:rsid w:val="006A58B4"/>
    <w:rsid w:val="006B04E2"/>
    <w:rsid w:val="006C06A4"/>
    <w:rsid w:val="006C784E"/>
    <w:rsid w:val="006D067E"/>
    <w:rsid w:val="006D7BBD"/>
    <w:rsid w:val="006E0E9D"/>
    <w:rsid w:val="006E5DEF"/>
    <w:rsid w:val="006F33A0"/>
    <w:rsid w:val="0070499A"/>
    <w:rsid w:val="007115C1"/>
    <w:rsid w:val="00726D9D"/>
    <w:rsid w:val="0073578E"/>
    <w:rsid w:val="00742ADD"/>
    <w:rsid w:val="00746C19"/>
    <w:rsid w:val="00752C24"/>
    <w:rsid w:val="00752FA5"/>
    <w:rsid w:val="00765E9E"/>
    <w:rsid w:val="00776BB9"/>
    <w:rsid w:val="00777377"/>
    <w:rsid w:val="00783832"/>
    <w:rsid w:val="00793C17"/>
    <w:rsid w:val="007A101C"/>
    <w:rsid w:val="007C02F7"/>
    <w:rsid w:val="007C280D"/>
    <w:rsid w:val="00805155"/>
    <w:rsid w:val="00805A89"/>
    <w:rsid w:val="00806320"/>
    <w:rsid w:val="00807F88"/>
    <w:rsid w:val="00830FBA"/>
    <w:rsid w:val="00835AE4"/>
    <w:rsid w:val="008500D5"/>
    <w:rsid w:val="00872F04"/>
    <w:rsid w:val="008910C2"/>
    <w:rsid w:val="0089492E"/>
    <w:rsid w:val="00897B30"/>
    <w:rsid w:val="008A1D96"/>
    <w:rsid w:val="008A2A1D"/>
    <w:rsid w:val="008B6351"/>
    <w:rsid w:val="008D2B61"/>
    <w:rsid w:val="008D2F21"/>
    <w:rsid w:val="008E6AD1"/>
    <w:rsid w:val="008F0AA1"/>
    <w:rsid w:val="008F1FB7"/>
    <w:rsid w:val="008F33FA"/>
    <w:rsid w:val="00900839"/>
    <w:rsid w:val="00953A0B"/>
    <w:rsid w:val="009574DB"/>
    <w:rsid w:val="009654F5"/>
    <w:rsid w:val="009727CC"/>
    <w:rsid w:val="009861E6"/>
    <w:rsid w:val="00996666"/>
    <w:rsid w:val="009A4413"/>
    <w:rsid w:val="009A685E"/>
    <w:rsid w:val="009D0887"/>
    <w:rsid w:val="009D41E0"/>
    <w:rsid w:val="009D4C11"/>
    <w:rsid w:val="009F3922"/>
    <w:rsid w:val="00A0024C"/>
    <w:rsid w:val="00A05661"/>
    <w:rsid w:val="00A2469D"/>
    <w:rsid w:val="00A26960"/>
    <w:rsid w:val="00A30FCC"/>
    <w:rsid w:val="00A35CEB"/>
    <w:rsid w:val="00A41939"/>
    <w:rsid w:val="00A42AB9"/>
    <w:rsid w:val="00A45071"/>
    <w:rsid w:val="00A55B73"/>
    <w:rsid w:val="00A74FEB"/>
    <w:rsid w:val="00A76D06"/>
    <w:rsid w:val="00A76F9C"/>
    <w:rsid w:val="00A8261D"/>
    <w:rsid w:val="00A836D9"/>
    <w:rsid w:val="00AC2940"/>
    <w:rsid w:val="00AC37F3"/>
    <w:rsid w:val="00AD4166"/>
    <w:rsid w:val="00AF6DC0"/>
    <w:rsid w:val="00AF7E1A"/>
    <w:rsid w:val="00B034F6"/>
    <w:rsid w:val="00B1092F"/>
    <w:rsid w:val="00B237DB"/>
    <w:rsid w:val="00B378D9"/>
    <w:rsid w:val="00B44715"/>
    <w:rsid w:val="00B518C6"/>
    <w:rsid w:val="00B524B5"/>
    <w:rsid w:val="00B54887"/>
    <w:rsid w:val="00B6379E"/>
    <w:rsid w:val="00B80CFA"/>
    <w:rsid w:val="00B90393"/>
    <w:rsid w:val="00BA42AD"/>
    <w:rsid w:val="00BB651C"/>
    <w:rsid w:val="00BB7F5D"/>
    <w:rsid w:val="00BD2132"/>
    <w:rsid w:val="00BD5D27"/>
    <w:rsid w:val="00BF3F93"/>
    <w:rsid w:val="00BF70A6"/>
    <w:rsid w:val="00BF7405"/>
    <w:rsid w:val="00C20864"/>
    <w:rsid w:val="00C303D6"/>
    <w:rsid w:val="00C455CD"/>
    <w:rsid w:val="00C56C0E"/>
    <w:rsid w:val="00C923C0"/>
    <w:rsid w:val="00C9746F"/>
    <w:rsid w:val="00CC73C8"/>
    <w:rsid w:val="00CE645F"/>
    <w:rsid w:val="00D152C1"/>
    <w:rsid w:val="00D263FE"/>
    <w:rsid w:val="00D27301"/>
    <w:rsid w:val="00D46BF3"/>
    <w:rsid w:val="00D81024"/>
    <w:rsid w:val="00D85161"/>
    <w:rsid w:val="00DA126F"/>
    <w:rsid w:val="00DB48B5"/>
    <w:rsid w:val="00DC0E5E"/>
    <w:rsid w:val="00DC2ABD"/>
    <w:rsid w:val="00DC323F"/>
    <w:rsid w:val="00DD77DF"/>
    <w:rsid w:val="00DE0172"/>
    <w:rsid w:val="00E01BA6"/>
    <w:rsid w:val="00E22958"/>
    <w:rsid w:val="00E25C51"/>
    <w:rsid w:val="00E27E21"/>
    <w:rsid w:val="00E3619C"/>
    <w:rsid w:val="00E43FF3"/>
    <w:rsid w:val="00E523B4"/>
    <w:rsid w:val="00E6424F"/>
    <w:rsid w:val="00E74E35"/>
    <w:rsid w:val="00E80B84"/>
    <w:rsid w:val="00E82130"/>
    <w:rsid w:val="00E95602"/>
    <w:rsid w:val="00EA199B"/>
    <w:rsid w:val="00EA4553"/>
    <w:rsid w:val="00EB425A"/>
    <w:rsid w:val="00EC7811"/>
    <w:rsid w:val="00EF56D1"/>
    <w:rsid w:val="00EF763D"/>
    <w:rsid w:val="00F01579"/>
    <w:rsid w:val="00F324E7"/>
    <w:rsid w:val="00F424CE"/>
    <w:rsid w:val="00F510D6"/>
    <w:rsid w:val="00F77E5F"/>
    <w:rsid w:val="00F855E6"/>
    <w:rsid w:val="00F90573"/>
    <w:rsid w:val="00F928DF"/>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3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13B39-A723-43DB-8370-5FF0EB2A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218</cp:revision>
  <dcterms:created xsi:type="dcterms:W3CDTF">2024-04-09T12:19:00Z</dcterms:created>
  <dcterms:modified xsi:type="dcterms:W3CDTF">2026-07-20T02:29:00Z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