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1438B1F0"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351B0A">
        <w:rPr>
          <w:rFonts w:ascii="仿宋" w:eastAsia="仿宋" w:hAnsi="仿宋" w:hint="eastAsia"/>
          <w:sz w:val="28"/>
          <w:szCs w:val="28"/>
        </w:rPr>
        <w:t xml:space="preserve"> </w:t>
      </w:r>
      <w:r w:rsidR="001563C0" w:rsidRPr="001563C0">
        <w:rPr>
          <w:rStyle w:val="ac"/>
          <w:rFonts w:cs="宋体" w:hint="eastAsia"/>
          <w:color w:val="333333"/>
          <w:sz w:val="28"/>
          <w:szCs w:val="28"/>
          <w:u w:val="single"/>
          <w:shd w:val="clear" w:color="auto" w:fill="FFFFFF"/>
        </w:rPr>
        <w:t>数字贸易经营决策系统</w:t>
      </w:r>
      <w:r w:rsidR="002526D5" w:rsidRPr="001563C0">
        <w:rPr>
          <w:rStyle w:val="ac"/>
          <w:rFonts w:ascii="宋体" w:hAnsi="宋体" w:cs="宋体" w:hint="eastAsia"/>
          <w:color w:val="333333"/>
          <w:sz w:val="28"/>
          <w:szCs w:val="28"/>
          <w:u w:val="single"/>
          <w:shd w:val="clear" w:color="auto" w:fill="FFFFFF"/>
        </w:rPr>
        <w:t>采购</w:t>
      </w:r>
      <w:r w:rsidRPr="001563C0">
        <w:rPr>
          <w:rStyle w:val="ac"/>
          <w:rFonts w:ascii="宋体" w:hAnsi="宋体" w:cs="宋体" w:hint="eastAsia"/>
          <w:color w:val="333333"/>
          <w:sz w:val="28"/>
          <w:szCs w:val="28"/>
          <w:u w:val="single"/>
          <w:shd w:val="clear" w:color="auto" w:fill="FFFFFF"/>
        </w:rPr>
        <w:t>项目招标</w:t>
      </w:r>
      <w:r w:rsidR="001563C0">
        <w:rPr>
          <w:rStyle w:val="ac"/>
          <w:rFonts w:ascii="宋体" w:hAnsi="宋体" w:cs="宋体" w:hint="eastAsia"/>
          <w:color w:val="333333"/>
          <w:u w:val="single"/>
          <w:shd w:val="clear" w:color="auto" w:fill="FFFFFF"/>
        </w:rPr>
        <w:t xml:space="preserve">    </w:t>
      </w:r>
      <w:r w:rsidR="0065231A" w:rsidRPr="00226A47">
        <w:rPr>
          <w:rStyle w:val="ac"/>
          <w:rFonts w:ascii="宋体" w:hAnsi="宋体" w:cs="宋体" w:hint="eastAsia"/>
          <w:color w:val="333333"/>
          <w:u w:val="single"/>
          <w:shd w:val="clear" w:color="auto" w:fill="FFFFFF"/>
        </w:rPr>
        <w:t xml:space="preserve"> </w:t>
      </w:r>
      <w:r w:rsidR="00226A47">
        <w:rPr>
          <w:rStyle w:val="ac"/>
          <w:rFonts w:ascii="宋体" w:hAnsi="宋体" w:cs="宋体" w:hint="eastAsia"/>
          <w:color w:val="333333"/>
          <w:u w:val="single"/>
          <w:shd w:val="clear" w:color="auto" w:fill="FFFFFF"/>
        </w:rPr>
        <w:t xml:space="preserve"> </w:t>
      </w:r>
    </w:p>
    <w:p w14:paraId="3EB35455" w14:textId="7EE9CA4E"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w:t>
      </w:r>
      <w:r w:rsidR="00D679BF">
        <w:rPr>
          <w:rStyle w:val="ac"/>
          <w:rFonts w:ascii="宋体" w:hAnsi="宋体" w:cs="宋体" w:hint="eastAsia"/>
          <w:color w:val="333333"/>
          <w:sz w:val="32"/>
          <w:szCs w:val="32"/>
          <w:u w:val="single"/>
          <w:shd w:val="clear" w:color="auto" w:fill="FFFFFF"/>
        </w:rPr>
        <w:t>3-</w:t>
      </w:r>
      <w:r w:rsidR="008D1675">
        <w:rPr>
          <w:rStyle w:val="ac"/>
          <w:rFonts w:ascii="宋体" w:hAnsi="宋体" w:cs="宋体" w:hint="eastAsia"/>
          <w:color w:val="333333"/>
          <w:sz w:val="32"/>
          <w:szCs w:val="32"/>
          <w:u w:val="single"/>
          <w:shd w:val="clear" w:color="auto" w:fill="FFFFFF"/>
        </w:rPr>
        <w:t>2</w:t>
      </w:r>
      <w:r w:rsidR="001563C0">
        <w:rPr>
          <w:rStyle w:val="ac"/>
          <w:rFonts w:ascii="宋体" w:hAnsi="宋体" w:cs="宋体" w:hint="eastAsia"/>
          <w:color w:val="333333"/>
          <w:sz w:val="32"/>
          <w:szCs w:val="32"/>
          <w:u w:val="single"/>
          <w:shd w:val="clear" w:color="auto" w:fill="FFFFFF"/>
        </w:rPr>
        <w:t>4</w:t>
      </w:r>
      <w:r w:rsidR="000B6946">
        <w:rPr>
          <w:rStyle w:val="ac"/>
          <w:rFonts w:ascii="宋体" w:hAnsi="宋体" w:cs="宋体" w:hint="eastAsia"/>
          <w:color w:val="333333"/>
          <w:sz w:val="32"/>
          <w:szCs w:val="32"/>
          <w:u w:val="single"/>
          <w:shd w:val="clear" w:color="auto" w:fill="FFFFFF"/>
        </w:rPr>
        <w:t xml:space="preserve"> </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31A39241"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w:t>
      </w:r>
      <w:r w:rsidR="00D679BF">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年</w:t>
      </w:r>
      <w:r w:rsidR="00D876C1">
        <w:rPr>
          <w:rStyle w:val="ac"/>
          <w:rFonts w:ascii="宋体" w:hAnsi="宋体" w:cs="宋体" w:hint="eastAsia"/>
          <w:color w:val="333333"/>
          <w:sz w:val="52"/>
          <w:szCs w:val="52"/>
          <w:shd w:val="clear" w:color="auto" w:fill="FFFFFF"/>
        </w:rPr>
        <w:t>十一</w:t>
      </w:r>
      <w:bookmarkStart w:id="0" w:name="_GoBack"/>
      <w:bookmarkEnd w:id="0"/>
      <w:r>
        <w:rPr>
          <w:rStyle w:val="ac"/>
          <w:rFonts w:ascii="宋体" w:hAnsi="宋体" w:cs="宋体" w:hint="eastAsia"/>
          <w:color w:val="333333"/>
          <w:sz w:val="52"/>
          <w:szCs w:val="52"/>
          <w:shd w:val="clear" w:color="auto" w:fill="FFFFFF"/>
        </w:rPr>
        <w:t>月</w:t>
      </w:r>
    </w:p>
    <w:p w14:paraId="4F7D3A0D" w14:textId="77777777" w:rsidR="0065231A" w:rsidRDefault="0065231A">
      <w:pPr>
        <w:spacing w:line="440" w:lineRule="exact"/>
        <w:jc w:val="center"/>
        <w:rPr>
          <w:rFonts w:ascii="仿宋" w:eastAsia="仿宋" w:hAnsi="仿宋"/>
          <w:b/>
          <w:sz w:val="32"/>
          <w:szCs w:val="32"/>
        </w:rPr>
      </w:pP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3EB3236B" w:rsidR="003B7AB5" w:rsidRPr="0065231A"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1563C0" w:rsidRPr="001563C0">
        <w:rPr>
          <w:rFonts w:ascii="仿宋" w:eastAsia="仿宋" w:hAnsi="仿宋" w:hint="eastAsia"/>
          <w:sz w:val="24"/>
        </w:rPr>
        <w:t>数字贸易经营决策系统</w:t>
      </w:r>
      <w:r w:rsidR="00546565" w:rsidRPr="0065231A">
        <w:rPr>
          <w:rFonts w:ascii="仿宋" w:eastAsia="仿宋" w:hAnsi="仿宋" w:hint="eastAsia"/>
          <w:sz w:val="24"/>
        </w:rPr>
        <w:t>采购项目</w:t>
      </w:r>
      <w:r w:rsidR="002526D5" w:rsidRPr="0065231A">
        <w:rPr>
          <w:rFonts w:ascii="仿宋" w:eastAsia="仿宋" w:hAnsi="仿宋" w:hint="eastAsia"/>
          <w:sz w:val="24"/>
        </w:rPr>
        <w:t>招标</w:t>
      </w:r>
      <w:r w:rsidRPr="0065231A">
        <w:rPr>
          <w:rFonts w:ascii="仿宋" w:eastAsia="仿宋" w:hAnsi="仿宋" w:hint="eastAsia"/>
          <w:sz w:val="24"/>
        </w:rPr>
        <w:t>，欢迎能满足标书要求的厂家前来投标。</w:t>
      </w:r>
    </w:p>
    <w:p w14:paraId="55FF4195" w14:textId="1D09552E" w:rsidR="00123DCD" w:rsidRDefault="007431F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1563C0" w:rsidRPr="001563C0">
        <w:rPr>
          <w:rFonts w:ascii="仿宋" w:eastAsia="仿宋" w:hAnsi="仿宋" w:hint="eastAsia"/>
          <w:b/>
          <w:sz w:val="24"/>
          <w:u w:val="single"/>
        </w:rPr>
        <w:t>数字贸易经营决策系统</w:t>
      </w:r>
      <w:r w:rsidR="008E557E" w:rsidRPr="0065231A">
        <w:rPr>
          <w:rFonts w:ascii="仿宋" w:eastAsia="仿宋" w:hAnsi="仿宋" w:hint="eastAsia"/>
          <w:b/>
          <w:sz w:val="24"/>
          <w:u w:val="single"/>
        </w:rPr>
        <w:t>采</w:t>
      </w:r>
      <w:r w:rsidR="008E557E" w:rsidRPr="00870FA7">
        <w:rPr>
          <w:rFonts w:ascii="仿宋" w:eastAsia="仿宋" w:hAnsi="仿宋" w:hint="eastAsia"/>
          <w:b/>
          <w:sz w:val="24"/>
          <w:u w:val="single"/>
        </w:rPr>
        <w:t>购</w:t>
      </w:r>
      <w:r w:rsidR="008E557E" w:rsidRPr="008E557E">
        <w:rPr>
          <w:rFonts w:ascii="仿宋" w:eastAsia="仿宋" w:hAnsi="仿宋" w:hint="eastAsia"/>
          <w:b/>
          <w:sz w:val="24"/>
          <w:u w:val="single"/>
        </w:rPr>
        <w:t>项目</w:t>
      </w:r>
    </w:p>
    <w:p w14:paraId="6914A9EC" w14:textId="6D5309DE"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D679BF">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D876C1">
        <w:rPr>
          <w:rFonts w:ascii="仿宋" w:eastAsia="仿宋" w:hAnsi="仿宋" w:hint="eastAsia"/>
          <w:sz w:val="24"/>
        </w:rPr>
        <w:t>11</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D876C1">
        <w:rPr>
          <w:rFonts w:ascii="仿宋" w:eastAsia="仿宋" w:hAnsi="仿宋" w:hint="eastAsia"/>
          <w:sz w:val="24"/>
        </w:rPr>
        <w:t>21</w:t>
      </w:r>
      <w:r w:rsidR="002526D5">
        <w:rPr>
          <w:rFonts w:ascii="仿宋" w:eastAsia="仿宋" w:hAnsi="仿宋"/>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0B6946">
        <w:rPr>
          <w:rFonts w:ascii="仿宋" w:eastAsia="仿宋" w:hAnsi="仿宋" w:hint="eastAsia"/>
          <w:sz w:val="24"/>
          <w:u w:val="single"/>
        </w:rPr>
        <w:t>3</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546A3B02" w14:textId="77777777" w:rsidR="00BB6169" w:rsidRDefault="007431F5" w:rsidP="00537D8E">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0A66AAD9" w:rsidR="003B7AB5" w:rsidRDefault="007431F5" w:rsidP="00537D8E">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19FD4054"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0B6946">
        <w:rPr>
          <w:rFonts w:ascii="仿宋" w:eastAsia="仿宋" w:hAnsi="仿宋" w:hint="eastAsia"/>
          <w:sz w:val="24"/>
          <w:u w:val="single"/>
        </w:rPr>
        <w:t>2</w:t>
      </w:r>
      <w:r w:rsidR="008E557E">
        <w:rPr>
          <w:rFonts w:ascii="仿宋" w:eastAsia="仿宋" w:hAnsi="仿宋" w:hint="eastAsia"/>
          <w:sz w:val="24"/>
          <w:u w:val="single"/>
        </w:rPr>
        <w:t>万</w:t>
      </w:r>
      <w:r w:rsidR="003E3EF3">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5667420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D679BF">
        <w:rPr>
          <w:rFonts w:ascii="仿宋" w:eastAsia="仿宋" w:hAnsi="仿宋" w:hint="eastAsia"/>
          <w:sz w:val="24"/>
        </w:rPr>
        <w:t>3</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3CD3733E" w:rsidR="003B7AB5" w:rsidRPr="006C3180" w:rsidRDefault="007431F5" w:rsidP="00870FA7">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DE6C54" w:rsidRPr="00DE6C54">
        <w:rPr>
          <w:rFonts w:ascii="仿宋" w:eastAsia="仿宋" w:hAnsi="仿宋" w:hint="eastAsia"/>
          <w:sz w:val="24"/>
        </w:rPr>
        <w:t>吴</w:t>
      </w:r>
      <w:r w:rsidR="00DE6C54">
        <w:rPr>
          <w:rFonts w:ascii="仿宋" w:eastAsia="仿宋" w:hAnsi="仿宋" w:hint="eastAsia"/>
          <w:sz w:val="24"/>
        </w:rPr>
        <w:t xml:space="preserve">老师 </w:t>
      </w:r>
      <w:r w:rsidR="00DE6C54" w:rsidRPr="00DE6C54">
        <w:rPr>
          <w:rFonts w:ascii="仿宋" w:eastAsia="仿宋" w:hAnsi="仿宋" w:hint="eastAsia"/>
          <w:sz w:val="24"/>
        </w:rPr>
        <w:t xml:space="preserve"> 13407132646</w:t>
      </w:r>
    </w:p>
    <w:p w14:paraId="1FB5089F" w14:textId="77777777" w:rsidR="00BB6169" w:rsidRDefault="00BB6169">
      <w:pPr>
        <w:spacing w:line="440" w:lineRule="exact"/>
        <w:jc w:val="center"/>
        <w:rPr>
          <w:rFonts w:ascii="仿宋" w:eastAsia="仿宋" w:hAnsi="仿宋"/>
          <w:b/>
          <w:sz w:val="32"/>
          <w:szCs w:val="32"/>
        </w:rPr>
      </w:pP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2BE585CB" w14:textId="3F25DA29" w:rsidR="00796544" w:rsidRDefault="007431F5" w:rsidP="0065231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
        <w:gridCol w:w="1141"/>
        <w:gridCol w:w="6226"/>
        <w:gridCol w:w="570"/>
      </w:tblGrid>
      <w:tr w:rsidR="006A7B88" w:rsidRPr="006A7B88" w14:paraId="7548BE73" w14:textId="77777777" w:rsidTr="00CF1918">
        <w:trPr>
          <w:trHeight w:val="645"/>
          <w:jc w:val="center"/>
        </w:trPr>
        <w:tc>
          <w:tcPr>
            <w:tcW w:w="507" w:type="dxa"/>
            <w:tcMar>
              <w:top w:w="0" w:type="dxa"/>
              <w:left w:w="10" w:type="dxa"/>
              <w:bottom w:w="0" w:type="dxa"/>
              <w:right w:w="10" w:type="dxa"/>
            </w:tcMar>
            <w:vAlign w:val="center"/>
          </w:tcPr>
          <w:p w14:paraId="4FBF2637" w14:textId="77777777" w:rsidR="006A7B88" w:rsidRPr="006A7B88" w:rsidRDefault="006A7B88" w:rsidP="00CF1918">
            <w:pPr>
              <w:spacing w:line="276" w:lineRule="auto"/>
              <w:jc w:val="center"/>
              <w:rPr>
                <w:rFonts w:ascii="仿宋" w:eastAsia="仿宋" w:hAnsi="仿宋"/>
                <w:sz w:val="24"/>
              </w:rPr>
            </w:pPr>
            <w:r w:rsidRPr="006A7B88">
              <w:rPr>
                <w:rFonts w:ascii="仿宋" w:eastAsia="仿宋" w:hAnsi="仿宋" w:hint="eastAsia"/>
                <w:sz w:val="24"/>
              </w:rPr>
              <w:t>序号</w:t>
            </w:r>
          </w:p>
        </w:tc>
        <w:tc>
          <w:tcPr>
            <w:tcW w:w="1141" w:type="dxa"/>
            <w:tcMar>
              <w:top w:w="0" w:type="dxa"/>
              <w:left w:w="10" w:type="dxa"/>
              <w:bottom w:w="0" w:type="dxa"/>
              <w:right w:w="10" w:type="dxa"/>
            </w:tcMar>
            <w:vAlign w:val="center"/>
          </w:tcPr>
          <w:p w14:paraId="7329E7FD" w14:textId="77777777" w:rsidR="006A7B88" w:rsidRPr="006A7B88" w:rsidRDefault="006A7B88" w:rsidP="00CF1918">
            <w:pPr>
              <w:spacing w:line="276" w:lineRule="auto"/>
              <w:jc w:val="center"/>
              <w:rPr>
                <w:rFonts w:ascii="仿宋" w:eastAsia="仿宋" w:hAnsi="仿宋"/>
                <w:sz w:val="24"/>
              </w:rPr>
            </w:pPr>
            <w:r w:rsidRPr="006A7B88">
              <w:rPr>
                <w:rFonts w:ascii="仿宋" w:eastAsia="仿宋" w:hAnsi="仿宋" w:hint="eastAsia"/>
                <w:sz w:val="24"/>
              </w:rPr>
              <w:t>设备名称</w:t>
            </w:r>
          </w:p>
        </w:tc>
        <w:tc>
          <w:tcPr>
            <w:tcW w:w="6226" w:type="dxa"/>
            <w:tcMar>
              <w:top w:w="0" w:type="dxa"/>
              <w:left w:w="10" w:type="dxa"/>
              <w:bottom w:w="0" w:type="dxa"/>
              <w:right w:w="10" w:type="dxa"/>
            </w:tcMar>
            <w:vAlign w:val="center"/>
          </w:tcPr>
          <w:p w14:paraId="29B5D736" w14:textId="77777777" w:rsidR="006A7B88" w:rsidRPr="006A7B88" w:rsidRDefault="006A7B88" w:rsidP="00CF1918">
            <w:pPr>
              <w:spacing w:line="276" w:lineRule="auto"/>
              <w:jc w:val="center"/>
              <w:rPr>
                <w:rFonts w:ascii="仿宋" w:eastAsia="仿宋" w:hAnsi="仿宋"/>
                <w:sz w:val="24"/>
              </w:rPr>
            </w:pPr>
            <w:r w:rsidRPr="006A7B88">
              <w:rPr>
                <w:rFonts w:ascii="仿宋" w:eastAsia="仿宋" w:hAnsi="仿宋" w:hint="eastAsia"/>
                <w:sz w:val="24"/>
              </w:rPr>
              <w:t>设备规格、技术参数</w:t>
            </w:r>
          </w:p>
        </w:tc>
        <w:tc>
          <w:tcPr>
            <w:tcW w:w="570" w:type="dxa"/>
            <w:tcMar>
              <w:top w:w="0" w:type="dxa"/>
              <w:left w:w="10" w:type="dxa"/>
              <w:bottom w:w="0" w:type="dxa"/>
              <w:right w:w="10" w:type="dxa"/>
            </w:tcMar>
            <w:vAlign w:val="center"/>
          </w:tcPr>
          <w:p w14:paraId="400E07A9" w14:textId="77777777" w:rsidR="006A7B88" w:rsidRPr="006A7B88" w:rsidRDefault="006A7B88" w:rsidP="00CF1918">
            <w:pPr>
              <w:spacing w:line="276" w:lineRule="auto"/>
              <w:jc w:val="center"/>
              <w:rPr>
                <w:rFonts w:ascii="仿宋" w:eastAsia="仿宋" w:hAnsi="仿宋"/>
                <w:sz w:val="24"/>
              </w:rPr>
            </w:pPr>
            <w:r w:rsidRPr="006A7B88">
              <w:rPr>
                <w:rFonts w:ascii="仿宋" w:eastAsia="仿宋" w:hAnsi="仿宋" w:hint="eastAsia"/>
                <w:sz w:val="24"/>
              </w:rPr>
              <w:t>数量</w:t>
            </w:r>
          </w:p>
        </w:tc>
      </w:tr>
      <w:tr w:rsidR="006A7B88" w:rsidRPr="006A7B88" w14:paraId="167A6CFD" w14:textId="77777777" w:rsidTr="00CF1918">
        <w:trPr>
          <w:trHeight w:val="1401"/>
          <w:jc w:val="center"/>
        </w:trPr>
        <w:tc>
          <w:tcPr>
            <w:tcW w:w="507" w:type="dxa"/>
            <w:tcMar>
              <w:top w:w="0" w:type="dxa"/>
              <w:left w:w="10" w:type="dxa"/>
              <w:bottom w:w="0" w:type="dxa"/>
              <w:right w:w="10" w:type="dxa"/>
            </w:tcMar>
            <w:vAlign w:val="center"/>
          </w:tcPr>
          <w:p w14:paraId="02BF3CBD" w14:textId="77777777" w:rsidR="006A7B88" w:rsidRPr="006A7B88" w:rsidRDefault="006A7B88" w:rsidP="00CF1918">
            <w:pPr>
              <w:spacing w:line="276" w:lineRule="auto"/>
              <w:jc w:val="center"/>
              <w:rPr>
                <w:rFonts w:ascii="仿宋" w:eastAsia="仿宋" w:hAnsi="仿宋"/>
                <w:sz w:val="24"/>
              </w:rPr>
            </w:pPr>
            <w:r w:rsidRPr="006A7B88">
              <w:rPr>
                <w:rFonts w:ascii="仿宋" w:eastAsia="仿宋" w:hAnsi="仿宋"/>
                <w:sz w:val="24"/>
              </w:rPr>
              <w:t>1</w:t>
            </w:r>
          </w:p>
        </w:tc>
        <w:tc>
          <w:tcPr>
            <w:tcW w:w="1141" w:type="dxa"/>
            <w:tcMar>
              <w:top w:w="0" w:type="dxa"/>
              <w:left w:w="10" w:type="dxa"/>
              <w:bottom w:w="0" w:type="dxa"/>
              <w:right w:w="10" w:type="dxa"/>
            </w:tcMar>
            <w:vAlign w:val="center"/>
          </w:tcPr>
          <w:p w14:paraId="7D89D4FB" w14:textId="77777777" w:rsidR="006A7B88" w:rsidRPr="006A7B88" w:rsidRDefault="006A7B88" w:rsidP="00CF1918">
            <w:pPr>
              <w:spacing w:line="276" w:lineRule="auto"/>
              <w:jc w:val="center"/>
              <w:rPr>
                <w:rFonts w:ascii="仿宋" w:eastAsia="仿宋" w:hAnsi="仿宋"/>
                <w:sz w:val="24"/>
              </w:rPr>
            </w:pPr>
            <w:r w:rsidRPr="006A7B88">
              <w:rPr>
                <w:rFonts w:ascii="仿宋" w:eastAsia="仿宋" w:hAnsi="仿宋" w:hint="eastAsia"/>
                <w:sz w:val="24"/>
              </w:rPr>
              <w:t>数字贸易经营决策系统软件</w:t>
            </w:r>
          </w:p>
        </w:tc>
        <w:tc>
          <w:tcPr>
            <w:tcW w:w="6226" w:type="dxa"/>
            <w:tcMar>
              <w:top w:w="0" w:type="dxa"/>
              <w:left w:w="10" w:type="dxa"/>
              <w:bottom w:w="0" w:type="dxa"/>
              <w:right w:w="10" w:type="dxa"/>
            </w:tcMar>
            <w:vAlign w:val="center"/>
          </w:tcPr>
          <w:p w14:paraId="2BBC957A" w14:textId="77777777" w:rsidR="006A7B88" w:rsidRPr="006A7B88" w:rsidRDefault="006A7B88" w:rsidP="00CF1918">
            <w:pPr>
              <w:tabs>
                <w:tab w:val="left" w:pos="1080"/>
              </w:tabs>
              <w:outlineLvl w:val="1"/>
              <w:rPr>
                <w:rFonts w:ascii="仿宋" w:eastAsia="仿宋" w:hAnsi="仿宋"/>
                <w:b/>
                <w:sz w:val="24"/>
              </w:rPr>
            </w:pPr>
            <w:r w:rsidRPr="006A7B88">
              <w:rPr>
                <w:rFonts w:ascii="仿宋" w:eastAsia="仿宋" w:hAnsi="仿宋" w:hint="eastAsia"/>
                <w:b/>
                <w:sz w:val="24"/>
              </w:rPr>
              <w:t>（一）制造商或供应商商务要求</w:t>
            </w:r>
          </w:p>
          <w:p w14:paraId="7CBF3046" w14:textId="77777777" w:rsidR="006A7B88" w:rsidRPr="006A7B88" w:rsidRDefault="006A7B88" w:rsidP="006A7B88">
            <w:pPr>
              <w:numPr>
                <w:ilvl w:val="0"/>
                <w:numId w:val="1"/>
              </w:numPr>
              <w:spacing w:line="288" w:lineRule="auto"/>
              <w:ind w:left="225" w:hanging="225"/>
              <w:jc w:val="left"/>
              <w:rPr>
                <w:rFonts w:ascii="仿宋" w:eastAsia="仿宋" w:hAnsi="仿宋" w:cs="宋体"/>
                <w:sz w:val="24"/>
              </w:rPr>
            </w:pPr>
            <w:bookmarkStart w:id="5" w:name="OLE_LINK19"/>
            <w:r w:rsidRPr="006A7B88">
              <w:rPr>
                <w:rFonts w:ascii="仿宋" w:eastAsia="仿宋" w:hAnsi="仿宋" w:cs="宋体" w:hint="eastAsia"/>
                <w:sz w:val="24"/>
              </w:rPr>
              <w:t>供应商应是在国家相关行政管理部门注册且为独立法人机构，经营范围涵盖本次采购范围的国内合法企业；</w:t>
            </w:r>
          </w:p>
          <w:p w14:paraId="4DABEE28" w14:textId="77777777" w:rsidR="006A7B88" w:rsidRPr="006A7B88" w:rsidRDefault="006A7B88" w:rsidP="006A7B88">
            <w:pPr>
              <w:numPr>
                <w:ilvl w:val="0"/>
                <w:numId w:val="1"/>
              </w:numPr>
              <w:spacing w:line="288" w:lineRule="auto"/>
              <w:ind w:left="225" w:hanging="225"/>
              <w:jc w:val="left"/>
              <w:rPr>
                <w:rFonts w:ascii="仿宋" w:eastAsia="仿宋" w:hAnsi="仿宋" w:cs="宋体"/>
                <w:sz w:val="24"/>
              </w:rPr>
            </w:pPr>
            <w:r w:rsidRPr="006A7B88">
              <w:rPr>
                <w:rFonts w:ascii="仿宋" w:eastAsia="仿宋" w:hAnsi="仿宋" w:cs="宋体" w:hint="eastAsia"/>
                <w:sz w:val="24"/>
              </w:rPr>
              <w:t xml:space="preserve">供应商提供的货物不是供应商生产或拥有的，则必须具有所投产品制造厂商提供的正式授权书； </w:t>
            </w:r>
          </w:p>
          <w:p w14:paraId="57DC50C4" w14:textId="77777777" w:rsidR="006A7B88" w:rsidRPr="006A7B88" w:rsidRDefault="006A7B88" w:rsidP="006A7B88">
            <w:pPr>
              <w:numPr>
                <w:ilvl w:val="0"/>
                <w:numId w:val="1"/>
              </w:numPr>
              <w:spacing w:line="288" w:lineRule="auto"/>
              <w:ind w:left="225" w:hanging="225"/>
              <w:jc w:val="left"/>
              <w:rPr>
                <w:rFonts w:ascii="仿宋" w:eastAsia="仿宋" w:hAnsi="仿宋" w:cs="宋体"/>
                <w:sz w:val="24"/>
              </w:rPr>
            </w:pPr>
            <w:r w:rsidRPr="006A7B88">
              <w:rPr>
                <w:rFonts w:ascii="仿宋" w:eastAsia="仿宋" w:hAnsi="仿宋" w:cs="宋体" w:hint="eastAsia"/>
                <w:sz w:val="24"/>
              </w:rPr>
              <w:t>供应商</w:t>
            </w:r>
            <w:bookmarkStart w:id="6" w:name="OLE_LINK4"/>
            <w:r w:rsidRPr="006A7B88">
              <w:rPr>
                <w:rFonts w:ascii="仿宋" w:eastAsia="仿宋" w:hAnsi="仿宋" w:cs="宋体" w:hint="eastAsia"/>
                <w:sz w:val="24"/>
              </w:rPr>
              <w:t>或所投产品厂家提供近3年</w:t>
            </w:r>
            <w:bookmarkEnd w:id="6"/>
            <w:r w:rsidRPr="006A7B88">
              <w:rPr>
                <w:rFonts w:ascii="仿宋" w:eastAsia="仿宋" w:hAnsi="仿宋" w:cs="宋体" w:hint="eastAsia"/>
                <w:sz w:val="24"/>
              </w:rPr>
              <w:t>内同类项目业绩至少1份；</w:t>
            </w:r>
          </w:p>
          <w:p w14:paraId="3A13600C" w14:textId="77777777" w:rsidR="006A7B88" w:rsidRPr="006A7B88" w:rsidRDefault="006A7B88" w:rsidP="006A7B88">
            <w:pPr>
              <w:numPr>
                <w:ilvl w:val="0"/>
                <w:numId w:val="1"/>
              </w:numPr>
              <w:spacing w:line="288" w:lineRule="auto"/>
              <w:ind w:left="225" w:hanging="225"/>
              <w:jc w:val="left"/>
              <w:rPr>
                <w:rFonts w:ascii="仿宋" w:eastAsia="仿宋" w:hAnsi="仿宋" w:cs="宋体"/>
                <w:sz w:val="24"/>
              </w:rPr>
            </w:pPr>
            <w:r w:rsidRPr="006A7B88">
              <w:rPr>
                <w:rFonts w:ascii="仿宋" w:eastAsia="仿宋" w:hAnsi="仿宋" w:cs="宋体" w:hint="eastAsia"/>
                <w:sz w:val="24"/>
              </w:rPr>
              <w:t>供应商提供所投产品厂家的计算机软件著作权登记证书。</w:t>
            </w:r>
          </w:p>
          <w:bookmarkEnd w:id="5"/>
          <w:p w14:paraId="145874F8" w14:textId="77777777" w:rsidR="006A7B88" w:rsidRPr="006A7B88" w:rsidRDefault="006A7B88" w:rsidP="00CF1918">
            <w:pPr>
              <w:tabs>
                <w:tab w:val="left" w:pos="1080"/>
              </w:tabs>
              <w:outlineLvl w:val="1"/>
              <w:rPr>
                <w:rFonts w:ascii="仿宋" w:eastAsia="仿宋" w:hAnsi="仿宋"/>
                <w:b/>
                <w:sz w:val="24"/>
              </w:rPr>
            </w:pPr>
            <w:r w:rsidRPr="006A7B88">
              <w:rPr>
                <w:rFonts w:ascii="仿宋" w:eastAsia="仿宋" w:hAnsi="仿宋" w:hint="eastAsia"/>
                <w:b/>
                <w:sz w:val="24"/>
              </w:rPr>
              <w:t>（二）售后服务体系要求</w:t>
            </w:r>
          </w:p>
          <w:p w14:paraId="208C01F2" w14:textId="77777777" w:rsidR="006A7B88" w:rsidRPr="006A7B88" w:rsidRDefault="006A7B88" w:rsidP="006A7B88">
            <w:pPr>
              <w:numPr>
                <w:ilvl w:val="0"/>
                <w:numId w:val="2"/>
              </w:numPr>
              <w:spacing w:line="288" w:lineRule="auto"/>
              <w:ind w:left="225" w:hanging="225"/>
              <w:jc w:val="left"/>
              <w:rPr>
                <w:rFonts w:ascii="仿宋" w:eastAsia="仿宋" w:hAnsi="仿宋" w:cs="宋体"/>
                <w:sz w:val="24"/>
              </w:rPr>
            </w:pPr>
            <w:r w:rsidRPr="006A7B88">
              <w:rPr>
                <w:rFonts w:ascii="仿宋" w:eastAsia="仿宋" w:hAnsi="仿宋" w:cs="宋体" w:hint="eastAsia"/>
                <w:sz w:val="24"/>
              </w:rPr>
              <w:t>负责对教学系统的免费现场安装、调试及指导和服务，在教学使用地提供至少1天的技术培训以及首次现场课程辅助教学。</w:t>
            </w:r>
          </w:p>
          <w:p w14:paraId="36336F11" w14:textId="77777777" w:rsidR="006A7B88" w:rsidRPr="006A7B88" w:rsidRDefault="006A7B88" w:rsidP="006A7B88">
            <w:pPr>
              <w:numPr>
                <w:ilvl w:val="0"/>
                <w:numId w:val="2"/>
              </w:numPr>
              <w:spacing w:line="288" w:lineRule="auto"/>
              <w:ind w:left="225" w:hanging="225"/>
              <w:jc w:val="left"/>
              <w:rPr>
                <w:rFonts w:ascii="仿宋" w:eastAsia="仿宋" w:hAnsi="仿宋" w:cs="宋体"/>
                <w:sz w:val="24"/>
              </w:rPr>
            </w:pPr>
            <w:r w:rsidRPr="006A7B88">
              <w:rPr>
                <w:rFonts w:ascii="仿宋" w:eastAsia="仿宋" w:hAnsi="仿宋" w:cs="宋体" w:hint="eastAsia"/>
                <w:sz w:val="24"/>
              </w:rPr>
              <w:t>负责在规定的安装调试期内完成工作，所产生一切费用由卖方承担。如因卖方责任而造成的延期，所有因安装延期而产生的费用由卖方负担。</w:t>
            </w:r>
          </w:p>
          <w:p w14:paraId="6E38A3F5" w14:textId="77777777" w:rsidR="006A7B88" w:rsidRPr="006A7B88" w:rsidRDefault="006A7B88" w:rsidP="006A7B88">
            <w:pPr>
              <w:numPr>
                <w:ilvl w:val="0"/>
                <w:numId w:val="2"/>
              </w:numPr>
              <w:spacing w:line="288" w:lineRule="auto"/>
              <w:ind w:left="225" w:hanging="225"/>
              <w:jc w:val="left"/>
              <w:rPr>
                <w:rFonts w:ascii="仿宋" w:eastAsia="仿宋" w:hAnsi="仿宋" w:cs="宋体"/>
                <w:sz w:val="24"/>
              </w:rPr>
            </w:pPr>
            <w:r w:rsidRPr="006A7B88">
              <w:rPr>
                <w:rFonts w:ascii="仿宋" w:eastAsia="仿宋" w:hAnsi="仿宋" w:cs="宋体" w:hint="eastAsia"/>
                <w:sz w:val="24"/>
              </w:rPr>
              <w:t>产品质保期为3年。质保期内软件免费升级、终身使用。在货物验收后运行的质保期内，负责因货物本身质量问题导致的各种故障的免费技术服务及维修。质量保证期后，维修、更换配件等只收成本费。</w:t>
            </w:r>
          </w:p>
          <w:p w14:paraId="0DF6E478" w14:textId="77777777" w:rsidR="006A7B88" w:rsidRPr="006A7B88" w:rsidRDefault="006A7B88" w:rsidP="006A7B88">
            <w:pPr>
              <w:numPr>
                <w:ilvl w:val="0"/>
                <w:numId w:val="2"/>
              </w:numPr>
              <w:spacing w:line="288" w:lineRule="auto"/>
              <w:ind w:left="225" w:hanging="225"/>
              <w:jc w:val="left"/>
              <w:rPr>
                <w:rFonts w:ascii="仿宋" w:eastAsia="仿宋" w:hAnsi="仿宋" w:cs="宋体"/>
                <w:sz w:val="24"/>
              </w:rPr>
            </w:pPr>
            <w:r w:rsidRPr="006A7B88">
              <w:rPr>
                <w:rFonts w:ascii="仿宋" w:eastAsia="仿宋" w:hAnsi="仿宋" w:cs="宋体" w:hint="eastAsia"/>
                <w:sz w:val="24"/>
              </w:rPr>
              <w:t>验收合格之日起保修期内，软件系统发生非人为损坏，免费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53A789D0" w14:textId="77777777" w:rsidR="006A7B88" w:rsidRPr="006A7B88" w:rsidRDefault="006A7B88" w:rsidP="006A7B88">
            <w:pPr>
              <w:numPr>
                <w:ilvl w:val="0"/>
                <w:numId w:val="2"/>
              </w:numPr>
              <w:spacing w:line="288" w:lineRule="auto"/>
              <w:ind w:left="225" w:hanging="225"/>
              <w:jc w:val="left"/>
              <w:rPr>
                <w:rFonts w:ascii="仿宋" w:eastAsia="仿宋" w:hAnsi="仿宋" w:cs="宋体"/>
                <w:sz w:val="24"/>
              </w:rPr>
            </w:pPr>
            <w:r w:rsidRPr="006A7B88">
              <w:rPr>
                <w:rFonts w:ascii="仿宋" w:eastAsia="仿宋" w:hAnsi="仿宋" w:cs="宋体" w:hint="eastAsia"/>
                <w:sz w:val="24"/>
              </w:rPr>
              <w:t>终身免费技术咨询。</w:t>
            </w:r>
          </w:p>
          <w:p w14:paraId="5D5ECF92" w14:textId="77777777" w:rsidR="006A7B88" w:rsidRPr="006A7B88" w:rsidRDefault="006A7B88" w:rsidP="006A7B88">
            <w:pPr>
              <w:numPr>
                <w:ilvl w:val="0"/>
                <w:numId w:val="2"/>
              </w:numPr>
              <w:spacing w:line="288" w:lineRule="auto"/>
              <w:ind w:left="225" w:hanging="225"/>
              <w:jc w:val="left"/>
              <w:rPr>
                <w:rFonts w:ascii="仿宋" w:eastAsia="仿宋" w:hAnsi="仿宋" w:cs="宋体"/>
                <w:sz w:val="24"/>
              </w:rPr>
            </w:pPr>
            <w:r w:rsidRPr="006A7B88">
              <w:rPr>
                <w:rFonts w:ascii="仿宋" w:eastAsia="仿宋" w:hAnsi="仿宋" w:cs="宋体" w:hint="eastAsia"/>
                <w:sz w:val="24"/>
              </w:rPr>
              <w:t>对授课教师、实验人员提供免费培训。</w:t>
            </w:r>
          </w:p>
          <w:p w14:paraId="194DFA2B" w14:textId="77777777" w:rsidR="006A7B88" w:rsidRPr="006A7B88" w:rsidRDefault="006A7B88" w:rsidP="006A7B88">
            <w:pPr>
              <w:numPr>
                <w:ilvl w:val="0"/>
                <w:numId w:val="2"/>
              </w:numPr>
              <w:spacing w:line="288" w:lineRule="auto"/>
              <w:ind w:left="225" w:hanging="225"/>
              <w:jc w:val="left"/>
              <w:rPr>
                <w:rFonts w:ascii="仿宋" w:eastAsia="仿宋" w:hAnsi="仿宋" w:cs="宋体"/>
                <w:sz w:val="24"/>
              </w:rPr>
            </w:pPr>
            <w:r w:rsidRPr="006A7B88">
              <w:rPr>
                <w:rFonts w:ascii="仿宋" w:eastAsia="仿宋" w:hAnsi="仿宋" w:cs="宋体" w:hint="eastAsia"/>
                <w:sz w:val="24"/>
              </w:rPr>
              <w:t>服务响应时间承诺：向用户免费提供7天×24小时的在线技术响应服务。用户可以通过在线方式要求供应商提供技术咨询服务。对于用户提出的问题，委派专业的技术人员在4小时内及时给予响应并进行解决。在非工作时间段</w:t>
            </w:r>
            <w:r w:rsidRPr="006A7B88">
              <w:rPr>
                <w:rFonts w:ascii="仿宋" w:eastAsia="仿宋" w:hAnsi="仿宋" w:cs="宋体" w:hint="eastAsia"/>
                <w:sz w:val="24"/>
              </w:rPr>
              <w:lastRenderedPageBreak/>
              <w:t>内，提供值班技术工程师的手机等紧急联络方式。免费为用户提供7天×24小时在线方式的技术紧急支持。提供7天×24小时的现场技术响应服务。技术工程师将在接到用户的请求后，如果24小时内无法通过在线方式解决，则立即启程从供应商最接近客户的技术支持中心，委派专业技术人员以最快的交通方式到达用户现场实施服务。对于产品本身出现重大问题，供应商提供7天×24小时紧急支持，技术工程师将在接到用户的请求后，如果在24个小时内通过在线方式仍旧无法解决问题，则立即启程委派专业技术人员以最快的交通方式到达用户现场实施服务。</w:t>
            </w:r>
          </w:p>
          <w:p w14:paraId="5F830D33" w14:textId="77777777" w:rsidR="006A7B88" w:rsidRPr="006A7B88" w:rsidRDefault="006A7B88" w:rsidP="00CF1918">
            <w:pPr>
              <w:tabs>
                <w:tab w:val="left" w:pos="640"/>
              </w:tabs>
              <w:outlineLvl w:val="1"/>
              <w:rPr>
                <w:rFonts w:ascii="仿宋" w:eastAsia="仿宋" w:hAnsi="仿宋"/>
                <w:b/>
                <w:sz w:val="24"/>
              </w:rPr>
            </w:pPr>
            <w:r w:rsidRPr="006A7B88">
              <w:rPr>
                <w:rFonts w:ascii="仿宋" w:eastAsia="仿宋" w:hAnsi="仿宋" w:hint="eastAsia"/>
                <w:b/>
                <w:sz w:val="24"/>
              </w:rPr>
              <w:t>（三）数字贸易经营决策系统及教学功能整体要求</w:t>
            </w:r>
          </w:p>
          <w:p w14:paraId="419E459A" w14:textId="77777777" w:rsidR="006A7B88" w:rsidRPr="006A7B88" w:rsidRDefault="006A7B88" w:rsidP="00CF1918">
            <w:pPr>
              <w:adjustRightInd w:val="0"/>
              <w:rPr>
                <w:rFonts w:ascii="仿宋" w:eastAsia="仿宋" w:hAnsi="仿宋" w:cs="宋体"/>
                <w:b/>
                <w:sz w:val="24"/>
              </w:rPr>
            </w:pPr>
            <w:r w:rsidRPr="006A7B88">
              <w:rPr>
                <w:rFonts w:ascii="仿宋" w:eastAsia="仿宋" w:hAnsi="仿宋" w:cs="宋体" w:hint="eastAsia"/>
                <w:b/>
                <w:sz w:val="24"/>
              </w:rPr>
              <w:t>1</w:t>
            </w:r>
            <w:r w:rsidRPr="006A7B88">
              <w:rPr>
                <w:rFonts w:ascii="仿宋" w:eastAsia="仿宋" w:hAnsi="仿宋" w:cs="宋体"/>
                <w:b/>
                <w:sz w:val="24"/>
              </w:rPr>
              <w:t>.</w:t>
            </w:r>
            <w:r w:rsidRPr="006A7B88">
              <w:rPr>
                <w:rFonts w:ascii="仿宋" w:eastAsia="仿宋" w:hAnsi="仿宋" w:cs="宋体" w:hint="eastAsia"/>
                <w:b/>
                <w:sz w:val="24"/>
              </w:rPr>
              <w:t>软件总体要求</w:t>
            </w:r>
          </w:p>
          <w:p w14:paraId="6FE10A3F" w14:textId="77777777" w:rsidR="006A7B88" w:rsidRPr="006A7B88" w:rsidRDefault="006A7B88" w:rsidP="00CF1918">
            <w:pPr>
              <w:pStyle w:val="2"/>
              <w:spacing w:before="0" w:after="0" w:line="240" w:lineRule="auto"/>
              <w:rPr>
                <w:rFonts w:ascii="仿宋" w:eastAsia="仿宋" w:hAnsi="仿宋" w:cs="宋体"/>
                <w:b w:val="0"/>
                <w:sz w:val="24"/>
                <w:szCs w:val="24"/>
              </w:rPr>
            </w:pPr>
            <w:r w:rsidRPr="006A7B88">
              <w:rPr>
                <w:rFonts w:ascii="仿宋" w:eastAsia="仿宋" w:hAnsi="仿宋" w:cs="宋体" w:hint="eastAsia"/>
                <w:b w:val="0"/>
                <w:sz w:val="24"/>
                <w:szCs w:val="24"/>
              </w:rPr>
              <w:t>1.1 技术特点：</w:t>
            </w:r>
          </w:p>
          <w:p w14:paraId="275302E8" w14:textId="77777777" w:rsidR="006A7B88" w:rsidRPr="006A7B88" w:rsidRDefault="006A7B88" w:rsidP="006A7B88">
            <w:pPr>
              <w:ind w:firstLineChars="147" w:firstLine="354"/>
              <w:rPr>
                <w:rFonts w:ascii="仿宋" w:eastAsia="仿宋" w:hAnsi="仿宋" w:cs="宋体"/>
                <w:kern w:val="0"/>
                <w:sz w:val="24"/>
              </w:rPr>
            </w:pPr>
            <w:r w:rsidRPr="006A7B88">
              <w:rPr>
                <w:rFonts w:ascii="仿宋" w:eastAsia="仿宋" w:hAnsi="仿宋" w:cs="宋体" w:hint="eastAsia"/>
                <w:b/>
                <w:bCs/>
                <w:kern w:val="0"/>
                <w:sz w:val="24"/>
              </w:rPr>
              <w:t>数字贸易经营决策软件</w:t>
            </w:r>
            <w:r w:rsidRPr="006A7B88">
              <w:rPr>
                <w:rFonts w:ascii="仿宋" w:eastAsia="仿宋" w:hAnsi="仿宋" w:cs="宋体" w:hint="eastAsia"/>
                <w:kern w:val="0"/>
                <w:sz w:val="24"/>
              </w:rPr>
              <w:t>是采用先进的实战经营理念，学生能够真实的逼真的体验国际贸易企业实际经营管理运行状况，内容涉及国际贸易企业市场分析，经营策略、交易磋商、单证制作、备货、订舱、保险、报关、报检、结汇、财务管理、团队协作等多个方面，让学生在游戏般的训练中体验完整的国际贸易企业经营过程和业务流程，感受企业发展的典型历程，感悟正确的经营思路和管理理念。</w:t>
            </w:r>
          </w:p>
          <w:p w14:paraId="36A3470A"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1.1.1主要目的和功能</w:t>
            </w:r>
          </w:p>
          <w:p w14:paraId="30E90C6C" w14:textId="77777777" w:rsidR="006A7B88" w:rsidRPr="006A7B88" w:rsidRDefault="006A7B88" w:rsidP="006A7B88">
            <w:pPr>
              <w:ind w:firstLineChars="150" w:firstLine="361"/>
              <w:rPr>
                <w:rFonts w:ascii="仿宋" w:eastAsia="仿宋" w:hAnsi="仿宋" w:cs="宋体"/>
                <w:b/>
                <w:kern w:val="0"/>
                <w:sz w:val="24"/>
              </w:rPr>
            </w:pPr>
            <w:r w:rsidRPr="006A7B88">
              <w:rPr>
                <w:rFonts w:ascii="仿宋" w:eastAsia="仿宋" w:hAnsi="仿宋" w:cs="宋体" w:hint="eastAsia"/>
                <w:b/>
                <w:kern w:val="0"/>
                <w:sz w:val="24"/>
              </w:rPr>
              <w:t>实验课全流程贯彻学生自身提出问题、讨论问题、研究问题、解决问题的教育部教学要求。通过实时分析经济增长率、通货膨胀率、行业景气指数、采购人经理指数和突发事件等因素对采购成本、汇率和国际市场价格的影响，培养学生经营分析、团队协作、沟通谈判、灵活应变、抵抗压力</w:t>
            </w:r>
            <w:r w:rsidRPr="006A7B88">
              <w:rPr>
                <w:rFonts w:ascii="仿宋" w:eastAsia="仿宋" w:hAnsi="仿宋" w:cs="宋体"/>
                <w:b/>
                <w:bCs/>
                <w:kern w:val="0"/>
                <w:sz w:val="24"/>
              </w:rPr>
              <w:t>及解决复杂问题</w:t>
            </w:r>
            <w:r w:rsidRPr="006A7B88">
              <w:rPr>
                <w:rFonts w:ascii="仿宋" w:eastAsia="仿宋" w:hAnsi="仿宋" w:cs="宋体" w:hint="eastAsia"/>
                <w:b/>
                <w:kern w:val="0"/>
                <w:sz w:val="24"/>
              </w:rPr>
              <w:t>的能力。</w:t>
            </w:r>
          </w:p>
          <w:p w14:paraId="778E5124" w14:textId="77777777" w:rsidR="006A7B88" w:rsidRPr="006A7B88" w:rsidRDefault="006A7B88" w:rsidP="006A7B88">
            <w:pPr>
              <w:ind w:firstLineChars="150" w:firstLine="360"/>
              <w:rPr>
                <w:rFonts w:ascii="仿宋" w:eastAsia="仿宋" w:hAnsi="仿宋" w:cs="宋体"/>
                <w:kern w:val="0"/>
                <w:sz w:val="24"/>
              </w:rPr>
            </w:pPr>
            <w:r w:rsidRPr="006A7B88">
              <w:rPr>
                <w:rFonts w:ascii="仿宋" w:eastAsia="仿宋" w:hAnsi="仿宋" w:cs="宋体" w:hint="eastAsia"/>
                <w:kern w:val="0"/>
                <w:sz w:val="24"/>
              </w:rPr>
              <w:t>国内公司系统包括以下功能组：宏观数据（经济数据、商品价格、贷款）、公告栏（数字贸易经营决策数据库）、银行贷款（长贷和短贷）、民间借贷、应收款、账户余额、借款本息、交易磋商、合同管理、信用证管理、备货（采购管理、库存查询、仓库租赁）、发票（商业发票和装箱单）、物流、报检、原产地证书（一般原产地证书和普惠制）、投运投保、出口许可、报关、</w:t>
            </w:r>
            <w:r w:rsidRPr="006A7B88">
              <w:rPr>
                <w:rFonts w:ascii="仿宋" w:eastAsia="仿宋" w:hAnsi="仿宋" w:cs="宋体" w:hint="eastAsia"/>
                <w:bCs/>
                <w:kern w:val="0"/>
                <w:sz w:val="24"/>
              </w:rPr>
              <w:t>结汇管理、财务综合分析（汇率盈亏、税后利润等）</w:t>
            </w:r>
            <w:r w:rsidRPr="006A7B88">
              <w:rPr>
                <w:rFonts w:ascii="仿宋" w:eastAsia="仿宋" w:hAnsi="仿宋" w:cs="宋体" w:hint="eastAsia"/>
                <w:kern w:val="0"/>
                <w:sz w:val="24"/>
              </w:rPr>
              <w:t>。</w:t>
            </w:r>
          </w:p>
          <w:p w14:paraId="29CBBDFA" w14:textId="77777777" w:rsidR="006A7B88" w:rsidRPr="006A7B88" w:rsidRDefault="006A7B88" w:rsidP="006A7B88">
            <w:pPr>
              <w:ind w:firstLineChars="150" w:firstLine="360"/>
              <w:rPr>
                <w:rFonts w:ascii="仿宋" w:eastAsia="仿宋" w:hAnsi="仿宋" w:cs="宋体"/>
                <w:kern w:val="0"/>
                <w:sz w:val="24"/>
              </w:rPr>
            </w:pPr>
            <w:r w:rsidRPr="006A7B88">
              <w:rPr>
                <w:rFonts w:ascii="仿宋" w:eastAsia="仿宋" w:hAnsi="仿宋" w:cs="宋体" w:hint="eastAsia"/>
                <w:kern w:val="0"/>
                <w:sz w:val="24"/>
              </w:rPr>
              <w:t>后台管理模块提供了强大的系统设置和功能模块管理功能。如：经济数据端口（国内经济指数、国外经济指数、国外合作地区《美国、欧盟、日本、韩国、东盟、俄罗斯、澳大利亚、南非、印度、巴西》、汇率事件）；市场竞争端口、政府端口（</w:t>
            </w:r>
            <w:r w:rsidRPr="006A7B88">
              <w:rPr>
                <w:rFonts w:ascii="仿宋" w:eastAsia="仿宋" w:hAnsi="仿宋" w:cs="宋体" w:hint="eastAsia"/>
                <w:sz w:val="24"/>
              </w:rPr>
              <w:t>设置出口许可条件及流程</w:t>
            </w:r>
            <w:r w:rsidRPr="006A7B88">
              <w:rPr>
                <w:rFonts w:ascii="仿宋" w:eastAsia="仿宋" w:hAnsi="仿宋" w:cs="宋体" w:hint="eastAsia"/>
                <w:kern w:val="0"/>
                <w:sz w:val="24"/>
              </w:rPr>
              <w:t>）、国际结算端口（</w:t>
            </w:r>
            <w:r w:rsidRPr="006A7B88">
              <w:rPr>
                <w:rFonts w:ascii="仿宋" w:eastAsia="仿宋" w:hAnsi="仿宋" w:cs="宋体" w:hint="eastAsia"/>
                <w:sz w:val="24"/>
              </w:rPr>
              <w:t>设置国内外银行贷款及利息规则，信用证开证功能</w:t>
            </w:r>
            <w:r w:rsidRPr="006A7B88">
              <w:rPr>
                <w:rFonts w:ascii="仿宋" w:eastAsia="仿宋" w:hAnsi="仿宋" w:cs="宋体" w:hint="eastAsia"/>
                <w:kern w:val="0"/>
                <w:sz w:val="24"/>
              </w:rPr>
              <w:t>）、外国公司端口（</w:t>
            </w:r>
            <w:r w:rsidRPr="006A7B88">
              <w:rPr>
                <w:rFonts w:ascii="仿宋" w:eastAsia="仿宋" w:hAnsi="仿宋" w:cs="宋体" w:hint="eastAsia"/>
                <w:sz w:val="24"/>
              </w:rPr>
              <w:t>交易磋商，签订合同、贷款</w:t>
            </w:r>
            <w:r w:rsidRPr="006A7B88">
              <w:rPr>
                <w:rFonts w:ascii="仿宋" w:eastAsia="仿宋" w:hAnsi="仿宋" w:cs="宋体" w:hint="eastAsia"/>
                <w:kern w:val="0"/>
                <w:sz w:val="24"/>
              </w:rPr>
              <w:t>）、商检端口、海关端</w:t>
            </w:r>
            <w:r w:rsidRPr="006A7B88">
              <w:rPr>
                <w:rFonts w:ascii="仿宋" w:eastAsia="仿宋" w:hAnsi="仿宋" w:cs="宋体" w:hint="eastAsia"/>
                <w:kern w:val="0"/>
                <w:sz w:val="24"/>
              </w:rPr>
              <w:lastRenderedPageBreak/>
              <w:t>口、货运端口、保险端口，实战过程中时间截点的设置（</w:t>
            </w:r>
            <w:r w:rsidRPr="006A7B88">
              <w:rPr>
                <w:rFonts w:ascii="仿宋" w:eastAsia="仿宋" w:hAnsi="仿宋" w:cs="宋体" w:hint="eastAsia"/>
                <w:sz w:val="24"/>
              </w:rPr>
              <w:t>结汇交单时间与实际装运时间的关系，报关时间与装运期，报检时间与装运期，一般原产地审批时间与装运期，惠普制审批时间与装运期</w:t>
            </w:r>
            <w:r w:rsidRPr="006A7B88">
              <w:rPr>
                <w:rFonts w:ascii="仿宋" w:eastAsia="仿宋" w:hAnsi="仿宋" w:cs="宋体" w:hint="eastAsia"/>
                <w:kern w:val="0"/>
                <w:sz w:val="24"/>
              </w:rPr>
              <w:t>）。提供独立的系统模拟时间：实战过程中，可以设置模拟时间与实际时间的进度比率关系。</w:t>
            </w:r>
          </w:p>
          <w:p w14:paraId="0843E8E1"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1.1.2实训人员组成</w:t>
            </w:r>
          </w:p>
          <w:p w14:paraId="3049B709" w14:textId="77777777" w:rsidR="006A7B88" w:rsidRPr="006A7B88" w:rsidRDefault="006A7B88" w:rsidP="006A7B88">
            <w:pPr>
              <w:ind w:firstLineChars="150" w:firstLine="360"/>
              <w:rPr>
                <w:rFonts w:ascii="仿宋" w:eastAsia="仿宋" w:hAnsi="仿宋" w:cs="宋体"/>
                <w:bCs/>
                <w:kern w:val="0"/>
                <w:sz w:val="24"/>
              </w:rPr>
            </w:pPr>
            <w:r w:rsidRPr="006A7B88">
              <w:rPr>
                <w:rFonts w:ascii="仿宋" w:eastAsia="仿宋" w:hAnsi="仿宋" w:cs="宋体" w:hint="eastAsia"/>
                <w:kern w:val="0"/>
                <w:sz w:val="24"/>
              </w:rPr>
              <w:t>每次</w:t>
            </w:r>
            <w:r w:rsidRPr="006A7B88">
              <w:rPr>
                <w:rFonts w:ascii="仿宋" w:eastAsia="仿宋" w:hAnsi="仿宋" w:cs="宋体" w:hint="eastAsia"/>
                <w:bCs/>
                <w:kern w:val="0"/>
                <w:sz w:val="24"/>
              </w:rPr>
              <w:t>实训，可以设置6--8家相互竞争的国际贸易企业。每个企业由 6 名学生组成，分别担任</w:t>
            </w:r>
            <w:r w:rsidRPr="006A7B88">
              <w:rPr>
                <w:rFonts w:ascii="仿宋" w:eastAsia="仿宋" w:hAnsi="仿宋" w:cs="宋体" w:hint="eastAsia"/>
                <w:kern w:val="0"/>
                <w:sz w:val="24"/>
              </w:rPr>
              <w:t>公司中的重要职位，如总经理、财务经理、业务经理、报检员、货代员、报关员</w:t>
            </w:r>
            <w:r w:rsidRPr="006A7B88">
              <w:rPr>
                <w:rFonts w:ascii="仿宋" w:eastAsia="仿宋" w:hAnsi="仿宋" w:cs="宋体" w:hint="eastAsia"/>
                <w:bCs/>
                <w:kern w:val="0"/>
                <w:sz w:val="24"/>
              </w:rPr>
              <w:t>六个角色。</w:t>
            </w:r>
          </w:p>
          <w:p w14:paraId="16FFB00F" w14:textId="77777777" w:rsidR="006A7B88" w:rsidRPr="006A7B88" w:rsidRDefault="006A7B88" w:rsidP="006A7B88">
            <w:pPr>
              <w:ind w:firstLineChars="150" w:firstLine="360"/>
              <w:rPr>
                <w:rFonts w:ascii="仿宋" w:eastAsia="仿宋" w:hAnsi="仿宋" w:cs="宋体"/>
                <w:kern w:val="0"/>
                <w:sz w:val="24"/>
              </w:rPr>
            </w:pPr>
            <w:r w:rsidRPr="006A7B88">
              <w:rPr>
                <w:rFonts w:ascii="仿宋" w:eastAsia="仿宋" w:hAnsi="仿宋" w:cs="宋体" w:hint="eastAsia"/>
                <w:bCs/>
                <w:kern w:val="0"/>
                <w:sz w:val="24"/>
              </w:rPr>
              <w:t>若干学生扮演</w:t>
            </w:r>
            <w:r w:rsidRPr="006A7B88">
              <w:rPr>
                <w:rFonts w:ascii="仿宋" w:eastAsia="仿宋" w:hAnsi="仿宋" w:cs="宋体" w:hint="eastAsia"/>
                <w:kern w:val="0"/>
                <w:sz w:val="24"/>
              </w:rPr>
              <w:t>外国公司、外国银行、国内银行、海关、商检、海运公司、保险公司、商务部，分别和国内公司洽谈业务、磋商交易条件、审核单证等业务。</w:t>
            </w:r>
          </w:p>
          <w:p w14:paraId="6A11F67B" w14:textId="77777777" w:rsidR="006A7B88" w:rsidRPr="006A7B88" w:rsidRDefault="006A7B88" w:rsidP="00CF1918">
            <w:pPr>
              <w:rPr>
                <w:rFonts w:ascii="仿宋" w:eastAsia="仿宋" w:hAnsi="仿宋" w:cs="宋体"/>
                <w:b/>
                <w:bCs/>
                <w:kern w:val="0"/>
                <w:sz w:val="24"/>
              </w:rPr>
            </w:pPr>
            <w:r w:rsidRPr="006A7B88">
              <w:rPr>
                <w:rFonts w:ascii="仿宋" w:eastAsia="仿宋" w:hAnsi="仿宋" w:cs="宋体" w:hint="eastAsia"/>
                <w:b/>
                <w:bCs/>
                <w:kern w:val="0"/>
                <w:sz w:val="24"/>
              </w:rPr>
              <w:t>2</w:t>
            </w:r>
            <w:r w:rsidRPr="006A7B88">
              <w:rPr>
                <w:rFonts w:ascii="仿宋" w:eastAsia="仿宋" w:hAnsi="仿宋" w:cs="宋体"/>
                <w:b/>
                <w:bCs/>
                <w:kern w:val="0"/>
                <w:sz w:val="24"/>
              </w:rPr>
              <w:t>.</w:t>
            </w:r>
            <w:r w:rsidRPr="006A7B88">
              <w:rPr>
                <w:rFonts w:ascii="仿宋" w:eastAsia="仿宋" w:hAnsi="仿宋" w:cs="宋体" w:hint="eastAsia"/>
                <w:b/>
                <w:bCs/>
                <w:sz w:val="24"/>
              </w:rPr>
              <w:t>数字贸易经营决策平台</w:t>
            </w:r>
          </w:p>
          <w:p w14:paraId="4E29AE04" w14:textId="77777777" w:rsidR="006A7B88" w:rsidRPr="006A7B88" w:rsidRDefault="006A7B88" w:rsidP="00CF1918">
            <w:pPr>
              <w:pStyle w:val="2"/>
              <w:spacing w:before="0" w:after="0" w:line="240" w:lineRule="auto"/>
              <w:rPr>
                <w:rFonts w:ascii="仿宋" w:eastAsia="仿宋" w:hAnsi="仿宋" w:cs="宋体"/>
                <w:b w:val="0"/>
                <w:sz w:val="24"/>
                <w:szCs w:val="24"/>
              </w:rPr>
            </w:pPr>
            <w:r w:rsidRPr="006A7B88">
              <w:rPr>
                <w:rFonts w:ascii="仿宋" w:eastAsia="仿宋" w:hAnsi="仿宋" w:cs="宋体" w:hint="eastAsia"/>
                <w:b w:val="0"/>
                <w:sz w:val="24"/>
                <w:szCs w:val="24"/>
              </w:rPr>
              <w:t>2.1教师端管理模块</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231"/>
              <w:gridCol w:w="4506"/>
            </w:tblGrid>
            <w:tr w:rsidR="006A7B88" w:rsidRPr="006A7B88" w14:paraId="6CE94CFE" w14:textId="77777777" w:rsidTr="00CF1918">
              <w:tc>
                <w:tcPr>
                  <w:tcW w:w="368" w:type="pct"/>
                  <w:vAlign w:val="center"/>
                </w:tcPr>
                <w:p w14:paraId="3005A76C"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序号</w:t>
                  </w:r>
                </w:p>
              </w:tc>
              <w:tc>
                <w:tcPr>
                  <w:tcW w:w="994" w:type="pct"/>
                  <w:vAlign w:val="center"/>
                </w:tcPr>
                <w:p w14:paraId="63F49726"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功能模块</w:t>
                  </w:r>
                </w:p>
              </w:tc>
              <w:tc>
                <w:tcPr>
                  <w:tcW w:w="3636" w:type="pct"/>
                  <w:vAlign w:val="center"/>
                </w:tcPr>
                <w:p w14:paraId="3957807F"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技术要求</w:t>
                  </w:r>
                </w:p>
              </w:tc>
            </w:tr>
            <w:tr w:rsidR="006A7B88" w:rsidRPr="006A7B88" w14:paraId="3A2A2643" w14:textId="77777777" w:rsidTr="00CF1918">
              <w:tc>
                <w:tcPr>
                  <w:tcW w:w="368" w:type="pct"/>
                  <w:vAlign w:val="center"/>
                </w:tcPr>
                <w:p w14:paraId="4D3BA9B4"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1</w:t>
                  </w:r>
                </w:p>
              </w:tc>
              <w:tc>
                <w:tcPr>
                  <w:tcW w:w="994" w:type="pct"/>
                  <w:vAlign w:val="center"/>
                </w:tcPr>
                <w:p w14:paraId="04EA3AEE"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系统启动年份</w:t>
                  </w:r>
                </w:p>
              </w:tc>
              <w:tc>
                <w:tcPr>
                  <w:tcW w:w="3636" w:type="pct"/>
                </w:tcPr>
                <w:p w14:paraId="28E37C74"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“系统启动年份”可以设置专业名称、系统周期</w:t>
                  </w:r>
                </w:p>
              </w:tc>
            </w:tr>
            <w:tr w:rsidR="006A7B88" w:rsidRPr="006A7B88" w14:paraId="7DF75B83" w14:textId="77777777" w:rsidTr="00CF1918">
              <w:tc>
                <w:tcPr>
                  <w:tcW w:w="368" w:type="pct"/>
                  <w:vAlign w:val="center"/>
                </w:tcPr>
                <w:p w14:paraId="7E0AB40C"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2</w:t>
                  </w:r>
                </w:p>
              </w:tc>
              <w:tc>
                <w:tcPr>
                  <w:tcW w:w="994" w:type="pct"/>
                  <w:vAlign w:val="center"/>
                </w:tcPr>
                <w:p w14:paraId="7BAA3D25"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实战规则</w:t>
                  </w:r>
                </w:p>
              </w:tc>
              <w:tc>
                <w:tcPr>
                  <w:tcW w:w="3636" w:type="pct"/>
                </w:tcPr>
                <w:p w14:paraId="4CF8C055"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“实战规则”可为不同的班级制定对应的实战规则。在切换不同的实战规则的时候，时间能够自动接续，延续上次实战时间点，不会发生时间错乱。实战模式分为学习模式和比赛模式。</w:t>
                  </w:r>
                </w:p>
              </w:tc>
            </w:tr>
            <w:tr w:rsidR="006A7B88" w:rsidRPr="006A7B88" w14:paraId="72E8CE50" w14:textId="77777777" w:rsidTr="00CF1918">
              <w:tc>
                <w:tcPr>
                  <w:tcW w:w="368" w:type="pct"/>
                  <w:vAlign w:val="center"/>
                </w:tcPr>
                <w:p w14:paraId="157E9A3E"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3</w:t>
                  </w:r>
                </w:p>
              </w:tc>
              <w:tc>
                <w:tcPr>
                  <w:tcW w:w="994" w:type="pct"/>
                  <w:vAlign w:val="center"/>
                </w:tcPr>
                <w:p w14:paraId="34EFF47F"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系统时间设定</w:t>
                  </w:r>
                </w:p>
              </w:tc>
              <w:tc>
                <w:tcPr>
                  <w:tcW w:w="3636" w:type="pct"/>
                </w:tcPr>
                <w:p w14:paraId="748379E9"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“系统时间设定”。在这里您可以对系统模拟时间进行放大设定，并且灵活的调整上课时间。</w:t>
                  </w:r>
                </w:p>
              </w:tc>
            </w:tr>
            <w:tr w:rsidR="006A7B88" w:rsidRPr="006A7B88" w14:paraId="44B13B9B" w14:textId="77777777" w:rsidTr="00CF1918">
              <w:tc>
                <w:tcPr>
                  <w:tcW w:w="368" w:type="pct"/>
                  <w:tcBorders>
                    <w:top w:val="single" w:sz="4" w:space="0" w:color="auto"/>
                    <w:left w:val="single" w:sz="4" w:space="0" w:color="auto"/>
                    <w:bottom w:val="single" w:sz="4" w:space="0" w:color="auto"/>
                    <w:right w:val="single" w:sz="4" w:space="0" w:color="auto"/>
                  </w:tcBorders>
                  <w:vAlign w:val="center"/>
                </w:tcPr>
                <w:p w14:paraId="683FB7D7"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4</w:t>
                  </w:r>
                </w:p>
              </w:tc>
              <w:tc>
                <w:tcPr>
                  <w:tcW w:w="994" w:type="pct"/>
                  <w:tcBorders>
                    <w:top w:val="single" w:sz="4" w:space="0" w:color="auto"/>
                    <w:left w:val="single" w:sz="4" w:space="0" w:color="auto"/>
                    <w:bottom w:val="single" w:sz="4" w:space="0" w:color="auto"/>
                    <w:right w:val="single" w:sz="4" w:space="0" w:color="auto"/>
                  </w:tcBorders>
                  <w:vAlign w:val="center"/>
                </w:tcPr>
                <w:p w14:paraId="6F7C98C8"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财务分析模块</w:t>
                  </w:r>
                </w:p>
              </w:tc>
              <w:tc>
                <w:tcPr>
                  <w:tcW w:w="3636" w:type="pct"/>
                  <w:tcBorders>
                    <w:top w:val="single" w:sz="4" w:space="0" w:color="auto"/>
                    <w:left w:val="single" w:sz="4" w:space="0" w:color="auto"/>
                    <w:bottom w:val="single" w:sz="4" w:space="0" w:color="auto"/>
                    <w:right w:val="single" w:sz="4" w:space="0" w:color="auto"/>
                  </w:tcBorders>
                </w:tcPr>
                <w:p w14:paraId="19FE1D28"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国内公司财务明细表、国内公司利润排名、对国内公司评价、国外公司财务明细表、外国公司利润排名、对国外公司评价、产品销量排名（统计国内公司产品销售数量并进行排名）、银行借款、调整国内公司自有资金、调整国外公司自有资金。</w:t>
                  </w:r>
                </w:p>
              </w:tc>
            </w:tr>
            <w:tr w:rsidR="006A7B88" w:rsidRPr="006A7B88" w14:paraId="4A0A0448" w14:textId="77777777" w:rsidTr="00CF1918">
              <w:tc>
                <w:tcPr>
                  <w:tcW w:w="368" w:type="pct"/>
                  <w:tcBorders>
                    <w:top w:val="single" w:sz="4" w:space="0" w:color="auto"/>
                    <w:left w:val="single" w:sz="4" w:space="0" w:color="auto"/>
                    <w:bottom w:val="single" w:sz="4" w:space="0" w:color="auto"/>
                    <w:right w:val="single" w:sz="4" w:space="0" w:color="auto"/>
                  </w:tcBorders>
                  <w:vAlign w:val="center"/>
                </w:tcPr>
                <w:p w14:paraId="5E488C5D"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5</w:t>
                  </w:r>
                </w:p>
              </w:tc>
              <w:tc>
                <w:tcPr>
                  <w:tcW w:w="994" w:type="pct"/>
                  <w:tcBorders>
                    <w:top w:val="single" w:sz="4" w:space="0" w:color="auto"/>
                    <w:left w:val="single" w:sz="4" w:space="0" w:color="auto"/>
                    <w:bottom w:val="single" w:sz="4" w:space="0" w:color="auto"/>
                    <w:right w:val="single" w:sz="4" w:space="0" w:color="auto"/>
                  </w:tcBorders>
                  <w:vAlign w:val="center"/>
                </w:tcPr>
                <w:p w14:paraId="203DAA92"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基础数据</w:t>
                  </w:r>
                </w:p>
              </w:tc>
              <w:tc>
                <w:tcPr>
                  <w:tcW w:w="3636" w:type="pct"/>
                  <w:tcBorders>
                    <w:top w:val="single" w:sz="4" w:space="0" w:color="auto"/>
                    <w:left w:val="single" w:sz="4" w:space="0" w:color="auto"/>
                    <w:bottom w:val="single" w:sz="4" w:space="0" w:color="auto"/>
                    <w:right w:val="single" w:sz="4" w:space="0" w:color="auto"/>
                  </w:tcBorders>
                </w:tcPr>
                <w:p w14:paraId="78C57442"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国外合作地区管理、国外合作地区、人民币汇率设置、产品包装材料设定、仓库费用、计量单位管理、产品基础信息管理、产品信息管理（是否生效，价格随着时间自动发生变化）、国内公司管理（是否和国外公司关联）、出口口岸、目的港、航线管理、舱位设置、公告栏、国外公司管理、国内经济数据（含价格变化模型）、国内经济指数曲线图、国外经济指数（含价格变化模型）、国外经济指数曲线图、突发事件对汇率影响（按日分析）、突发</w:t>
                  </w:r>
                  <w:r w:rsidRPr="006A7B88">
                    <w:rPr>
                      <w:rFonts w:ascii="仿宋" w:eastAsia="仿宋" w:hAnsi="仿宋" w:cs="宋体" w:hint="eastAsia"/>
                      <w:sz w:val="24"/>
                    </w:rPr>
                    <w:lastRenderedPageBreak/>
                    <w:t>事件对国内采购成本影响，突发事件对国际销售价格的影响、经济数据对汇率的影响、价格影响因素管理、汇率影响因素管理。</w:t>
                  </w:r>
                </w:p>
              </w:tc>
            </w:tr>
            <w:tr w:rsidR="006A7B88" w:rsidRPr="006A7B88" w14:paraId="3335CF16" w14:textId="77777777" w:rsidTr="00CF1918">
              <w:tc>
                <w:tcPr>
                  <w:tcW w:w="368" w:type="pct"/>
                  <w:tcBorders>
                    <w:top w:val="single" w:sz="4" w:space="0" w:color="auto"/>
                    <w:left w:val="single" w:sz="4" w:space="0" w:color="auto"/>
                    <w:bottom w:val="single" w:sz="4" w:space="0" w:color="auto"/>
                    <w:right w:val="single" w:sz="4" w:space="0" w:color="auto"/>
                  </w:tcBorders>
                  <w:vAlign w:val="center"/>
                </w:tcPr>
                <w:p w14:paraId="7D53252E"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lastRenderedPageBreak/>
                    <w:t>6</w:t>
                  </w:r>
                </w:p>
              </w:tc>
              <w:tc>
                <w:tcPr>
                  <w:tcW w:w="994" w:type="pct"/>
                  <w:tcBorders>
                    <w:top w:val="single" w:sz="4" w:space="0" w:color="auto"/>
                    <w:left w:val="single" w:sz="4" w:space="0" w:color="auto"/>
                    <w:bottom w:val="single" w:sz="4" w:space="0" w:color="auto"/>
                    <w:right w:val="single" w:sz="4" w:space="0" w:color="auto"/>
                  </w:tcBorders>
                  <w:vAlign w:val="center"/>
                </w:tcPr>
                <w:p w14:paraId="79C64C8B"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费用设置</w:t>
                  </w:r>
                </w:p>
              </w:tc>
              <w:tc>
                <w:tcPr>
                  <w:tcW w:w="3636" w:type="pct"/>
                  <w:tcBorders>
                    <w:top w:val="single" w:sz="4" w:space="0" w:color="auto"/>
                    <w:left w:val="single" w:sz="4" w:space="0" w:color="auto"/>
                    <w:bottom w:val="single" w:sz="4" w:space="0" w:color="auto"/>
                    <w:right w:val="single" w:sz="4" w:space="0" w:color="auto"/>
                  </w:tcBorders>
                </w:tcPr>
                <w:p w14:paraId="477373FF"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国内外公司管理费用、国内外公司办公费、磋商费用、操作费用、许可证费、报关费、订舱费、信用证改签费、投保比例、违约率、国内外银行贷款金额限制、国内外公司贷款种类和利率、国内公司民间借贷金额限制和利率、报检费、产地证手续费、装运期设置、未投保意外损失比例、国内外公司所得税、交易订单设置、可与同一外国公司合作的订单数设置、国内外公司可选产品价格影响因数个数设置、国内外公司可选汇率影响因数个数设置、是否允许国外公司分配订单、是否允许国外公司撤销订单、经济周期阶段设置、未投保意外损失随机参数设置。</w:t>
                  </w:r>
                </w:p>
              </w:tc>
            </w:tr>
            <w:tr w:rsidR="006A7B88" w:rsidRPr="006A7B88" w14:paraId="4EDD15F9" w14:textId="77777777" w:rsidTr="00CF1918">
              <w:tc>
                <w:tcPr>
                  <w:tcW w:w="368" w:type="pct"/>
                  <w:tcBorders>
                    <w:top w:val="single" w:sz="4" w:space="0" w:color="auto"/>
                    <w:left w:val="single" w:sz="4" w:space="0" w:color="auto"/>
                    <w:bottom w:val="single" w:sz="4" w:space="0" w:color="auto"/>
                    <w:right w:val="single" w:sz="4" w:space="0" w:color="auto"/>
                  </w:tcBorders>
                  <w:vAlign w:val="center"/>
                </w:tcPr>
                <w:p w14:paraId="3256437A"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7</w:t>
                  </w:r>
                </w:p>
              </w:tc>
              <w:tc>
                <w:tcPr>
                  <w:tcW w:w="994" w:type="pct"/>
                  <w:tcBorders>
                    <w:top w:val="single" w:sz="4" w:space="0" w:color="auto"/>
                    <w:left w:val="single" w:sz="4" w:space="0" w:color="auto"/>
                    <w:bottom w:val="single" w:sz="4" w:space="0" w:color="auto"/>
                    <w:right w:val="single" w:sz="4" w:space="0" w:color="auto"/>
                  </w:tcBorders>
                  <w:vAlign w:val="center"/>
                </w:tcPr>
                <w:p w14:paraId="326779E9"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超时间设置</w:t>
                  </w:r>
                </w:p>
              </w:tc>
              <w:tc>
                <w:tcPr>
                  <w:tcW w:w="3636" w:type="pct"/>
                  <w:tcBorders>
                    <w:top w:val="single" w:sz="4" w:space="0" w:color="auto"/>
                    <w:left w:val="single" w:sz="4" w:space="0" w:color="auto"/>
                    <w:bottom w:val="single" w:sz="4" w:space="0" w:color="auto"/>
                    <w:right w:val="single" w:sz="4" w:space="0" w:color="auto"/>
                  </w:tcBorders>
                </w:tcPr>
                <w:p w14:paraId="46BCAA46"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结汇交单不能迟于与实际装运时间，报关时间比装运期早，报检时间比装运期早，一般原产地审批时间比装运期早，惠普制审批时间比装运期早，外国公司超时收货需租赁仓库设置。时间关系可以灵活设置。</w:t>
                  </w:r>
                </w:p>
              </w:tc>
            </w:tr>
            <w:tr w:rsidR="006A7B88" w:rsidRPr="006A7B88" w14:paraId="177BAECC" w14:textId="77777777" w:rsidTr="00CF1918">
              <w:tc>
                <w:tcPr>
                  <w:tcW w:w="368" w:type="pct"/>
                  <w:tcBorders>
                    <w:top w:val="single" w:sz="4" w:space="0" w:color="auto"/>
                    <w:left w:val="single" w:sz="4" w:space="0" w:color="auto"/>
                    <w:bottom w:val="single" w:sz="4" w:space="0" w:color="auto"/>
                    <w:right w:val="single" w:sz="4" w:space="0" w:color="auto"/>
                  </w:tcBorders>
                  <w:vAlign w:val="center"/>
                </w:tcPr>
                <w:p w14:paraId="12A0C36F"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8</w:t>
                  </w:r>
                </w:p>
              </w:tc>
              <w:tc>
                <w:tcPr>
                  <w:tcW w:w="994" w:type="pct"/>
                  <w:tcBorders>
                    <w:top w:val="single" w:sz="4" w:space="0" w:color="auto"/>
                    <w:left w:val="single" w:sz="4" w:space="0" w:color="auto"/>
                    <w:bottom w:val="single" w:sz="4" w:space="0" w:color="auto"/>
                    <w:right w:val="single" w:sz="4" w:space="0" w:color="auto"/>
                  </w:tcBorders>
                  <w:vAlign w:val="center"/>
                </w:tcPr>
                <w:p w14:paraId="3C7621DC"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外部端口设置</w:t>
                  </w:r>
                </w:p>
              </w:tc>
              <w:tc>
                <w:tcPr>
                  <w:tcW w:w="3636" w:type="pct"/>
                  <w:tcBorders>
                    <w:top w:val="single" w:sz="4" w:space="0" w:color="auto"/>
                    <w:left w:val="single" w:sz="4" w:space="0" w:color="auto"/>
                    <w:bottom w:val="single" w:sz="4" w:space="0" w:color="auto"/>
                    <w:right w:val="single" w:sz="4" w:space="0" w:color="auto"/>
                  </w:tcBorders>
                </w:tcPr>
                <w:p w14:paraId="1AFDD907" w14:textId="77777777" w:rsidR="006A7B88" w:rsidRPr="006A7B88" w:rsidRDefault="006A7B88" w:rsidP="00CF1918">
                  <w:pPr>
                    <w:rPr>
                      <w:rFonts w:ascii="仿宋" w:eastAsia="仿宋" w:hAnsi="仿宋" w:cs="宋体"/>
                      <w:bCs/>
                      <w:sz w:val="24"/>
                    </w:rPr>
                  </w:pPr>
                  <w:r w:rsidRPr="006A7B88">
                    <w:rPr>
                      <w:rFonts w:ascii="仿宋" w:eastAsia="仿宋" w:hAnsi="仿宋" w:cs="宋体" w:hint="eastAsia"/>
                      <w:kern w:val="0"/>
                      <w:sz w:val="24"/>
                    </w:rPr>
                    <w:t>外国银行、国内银行、海关、商检、海运公司、保险公司、商务部7个外部端可以选择人工或电脑审核业务。</w:t>
                  </w:r>
                </w:p>
              </w:tc>
            </w:tr>
            <w:tr w:rsidR="006A7B88" w:rsidRPr="006A7B88" w14:paraId="087241AA" w14:textId="77777777" w:rsidTr="00CF1918">
              <w:tc>
                <w:tcPr>
                  <w:tcW w:w="368" w:type="pct"/>
                  <w:tcBorders>
                    <w:top w:val="single" w:sz="4" w:space="0" w:color="auto"/>
                    <w:left w:val="single" w:sz="4" w:space="0" w:color="auto"/>
                    <w:bottom w:val="single" w:sz="4" w:space="0" w:color="auto"/>
                    <w:right w:val="single" w:sz="4" w:space="0" w:color="auto"/>
                  </w:tcBorders>
                  <w:vAlign w:val="center"/>
                </w:tcPr>
                <w:p w14:paraId="7EED85FF"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sz w:val="24"/>
                    </w:rPr>
                    <w:t>9</w:t>
                  </w:r>
                </w:p>
              </w:tc>
              <w:tc>
                <w:tcPr>
                  <w:tcW w:w="994" w:type="pct"/>
                  <w:tcBorders>
                    <w:top w:val="single" w:sz="4" w:space="0" w:color="auto"/>
                    <w:left w:val="single" w:sz="4" w:space="0" w:color="auto"/>
                    <w:bottom w:val="single" w:sz="4" w:space="0" w:color="auto"/>
                    <w:right w:val="single" w:sz="4" w:space="0" w:color="auto"/>
                  </w:tcBorders>
                  <w:vAlign w:val="center"/>
                </w:tcPr>
                <w:p w14:paraId="793A892F"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评价指标分比设定</w:t>
                  </w:r>
                </w:p>
              </w:tc>
              <w:tc>
                <w:tcPr>
                  <w:tcW w:w="3636" w:type="pct"/>
                  <w:tcBorders>
                    <w:top w:val="single" w:sz="4" w:space="0" w:color="auto"/>
                    <w:left w:val="single" w:sz="4" w:space="0" w:color="auto"/>
                    <w:bottom w:val="single" w:sz="4" w:space="0" w:color="auto"/>
                    <w:right w:val="single" w:sz="4" w:space="0" w:color="auto"/>
                  </w:tcBorders>
                </w:tcPr>
                <w:p w14:paraId="55ADD286" w14:textId="77777777" w:rsidR="006A7B88" w:rsidRPr="006A7B88" w:rsidRDefault="006A7B88" w:rsidP="00CF1918">
                  <w:pPr>
                    <w:rPr>
                      <w:rFonts w:ascii="仿宋" w:eastAsia="仿宋" w:hAnsi="仿宋" w:cs="宋体"/>
                      <w:sz w:val="24"/>
                    </w:rPr>
                  </w:pPr>
                  <w:r w:rsidRPr="006A7B88">
                    <w:rPr>
                      <w:rFonts w:ascii="仿宋" w:eastAsia="仿宋" w:hAnsi="仿宋" w:cs="宋体" w:hint="eastAsia"/>
                      <w:kern w:val="0"/>
                      <w:sz w:val="24"/>
                    </w:rPr>
                    <w:t>税后利润、国内公司弥补损失、汇率盈亏、民间贷款、民间贷款欠款、民间贷款逾期还款、银行欠款、银行贷款逾期还款、订单违约、损失费、库存、应收款、国内公司违规、国外公司税后利润、国外公司银行欠款、国外公司银行逾期还款、国外公司未投保意外损失、弥补国外公司损失、国外公司分配错订单、国外公司拒绝执行订单、国外公司乱分配订单、外国公司预测销售价格与实际销售价格对比、国内公司采购价格与汇率影响因素报告、国外公司销售价格影响因素报告。可以根据这些灵活设置评分标准，以考核学生各个方面的能力。</w:t>
                  </w:r>
                </w:p>
              </w:tc>
            </w:tr>
          </w:tbl>
          <w:p w14:paraId="224DC836" w14:textId="77777777" w:rsidR="006A7B88" w:rsidRPr="006A7B88" w:rsidRDefault="006A7B88" w:rsidP="00CF1918">
            <w:pPr>
              <w:pStyle w:val="2"/>
              <w:spacing w:before="0" w:after="0" w:line="240" w:lineRule="auto"/>
              <w:rPr>
                <w:rFonts w:ascii="仿宋" w:eastAsia="仿宋" w:hAnsi="仿宋" w:cs="宋体"/>
                <w:b w:val="0"/>
                <w:sz w:val="24"/>
                <w:szCs w:val="24"/>
              </w:rPr>
            </w:pPr>
            <w:r w:rsidRPr="006A7B88">
              <w:rPr>
                <w:rFonts w:ascii="仿宋" w:eastAsia="仿宋" w:hAnsi="仿宋" w:cs="宋体" w:hint="eastAsia"/>
                <w:b w:val="0"/>
                <w:sz w:val="24"/>
                <w:szCs w:val="24"/>
              </w:rPr>
              <w:t>2.2外部端口管理模块</w:t>
            </w:r>
          </w:p>
          <w:p w14:paraId="1D0694F7" w14:textId="77777777" w:rsidR="006A7B88" w:rsidRPr="006A7B88" w:rsidRDefault="006A7B88" w:rsidP="006A7B88">
            <w:pPr>
              <w:ind w:firstLineChars="150" w:firstLine="360"/>
              <w:rPr>
                <w:rFonts w:ascii="仿宋" w:eastAsia="仿宋" w:hAnsi="仿宋" w:cs="宋体"/>
                <w:bCs/>
                <w:kern w:val="0"/>
                <w:sz w:val="24"/>
              </w:rPr>
            </w:pPr>
            <w:r w:rsidRPr="006A7B88">
              <w:rPr>
                <w:rFonts w:ascii="仿宋" w:eastAsia="仿宋" w:hAnsi="仿宋" w:cs="宋体" w:hint="eastAsia"/>
                <w:bCs/>
                <w:kern w:val="0"/>
                <w:sz w:val="24"/>
              </w:rPr>
              <w:t>若干学生扮演</w:t>
            </w:r>
            <w:r w:rsidRPr="006A7B88">
              <w:rPr>
                <w:rFonts w:ascii="仿宋" w:eastAsia="仿宋" w:hAnsi="仿宋" w:cs="宋体" w:hint="eastAsia"/>
                <w:kern w:val="0"/>
                <w:sz w:val="24"/>
              </w:rPr>
              <w:t>外国公司、外国银行、国内银行、海关、商检、海运公司、保险公司、商务部，分别和国内公司洽谈</w:t>
            </w:r>
            <w:r w:rsidRPr="006A7B88">
              <w:rPr>
                <w:rFonts w:ascii="仿宋" w:eastAsia="仿宋" w:hAnsi="仿宋" w:cs="宋体" w:hint="eastAsia"/>
                <w:kern w:val="0"/>
                <w:sz w:val="24"/>
              </w:rPr>
              <w:lastRenderedPageBreak/>
              <w:t>业务、磋商交易条件、审核单证单据等业务。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110"/>
              <w:gridCol w:w="4597"/>
            </w:tblGrid>
            <w:tr w:rsidR="006A7B88" w:rsidRPr="006A7B88" w14:paraId="4DE33014" w14:textId="77777777" w:rsidTr="00CF1918">
              <w:tc>
                <w:tcPr>
                  <w:tcW w:w="392" w:type="pct"/>
                  <w:vAlign w:val="center"/>
                </w:tcPr>
                <w:p w14:paraId="208D76F0"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序号</w:t>
                  </w:r>
                </w:p>
              </w:tc>
              <w:tc>
                <w:tcPr>
                  <w:tcW w:w="896" w:type="pct"/>
                  <w:vAlign w:val="center"/>
                </w:tcPr>
                <w:p w14:paraId="6E18994B"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功能模块</w:t>
                  </w:r>
                </w:p>
              </w:tc>
              <w:tc>
                <w:tcPr>
                  <w:tcW w:w="3710" w:type="pct"/>
                  <w:vAlign w:val="center"/>
                </w:tcPr>
                <w:p w14:paraId="40BDD6B8"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技术要求</w:t>
                  </w:r>
                </w:p>
              </w:tc>
            </w:tr>
            <w:tr w:rsidR="006A7B88" w:rsidRPr="006A7B88" w14:paraId="0F932324" w14:textId="77777777" w:rsidTr="00CF1918">
              <w:tc>
                <w:tcPr>
                  <w:tcW w:w="392" w:type="pct"/>
                  <w:vAlign w:val="center"/>
                </w:tcPr>
                <w:p w14:paraId="1FB843F0"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1</w:t>
                  </w:r>
                </w:p>
              </w:tc>
              <w:tc>
                <w:tcPr>
                  <w:tcW w:w="896" w:type="pct"/>
                  <w:vAlign w:val="center"/>
                </w:tcPr>
                <w:p w14:paraId="7B130B67"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外国公司</w:t>
                  </w:r>
                </w:p>
              </w:tc>
              <w:tc>
                <w:tcPr>
                  <w:tcW w:w="3710" w:type="pct"/>
                </w:tcPr>
                <w:p w14:paraId="24A9579F"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市场订单管理、撤销订单管理、拒绝执行订单处理、交易磋商、预测商品销售价格、合同管理、信用证管理、贷款管理、国外公司冻结资金、仓库管理、国外公司确认收货、价格影响因素报告、人民币汇率查询、包装材料查询、国外产品信息查询、航线查询、费用设置查询、国内外经济数据查询、分比设定查询、超时间设置查询、成绩查询和导出。</w:t>
                  </w:r>
                </w:p>
              </w:tc>
            </w:tr>
            <w:tr w:rsidR="006A7B88" w:rsidRPr="006A7B88" w14:paraId="77E3E5EC" w14:textId="77777777" w:rsidTr="00CF1918">
              <w:tc>
                <w:tcPr>
                  <w:tcW w:w="392" w:type="pct"/>
                  <w:vAlign w:val="center"/>
                </w:tcPr>
                <w:p w14:paraId="1AB7CE48"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2</w:t>
                  </w:r>
                </w:p>
              </w:tc>
              <w:tc>
                <w:tcPr>
                  <w:tcW w:w="896" w:type="pct"/>
                  <w:vAlign w:val="center"/>
                </w:tcPr>
                <w:p w14:paraId="18716E76"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外国银行</w:t>
                  </w:r>
                </w:p>
              </w:tc>
              <w:tc>
                <w:tcPr>
                  <w:tcW w:w="3710" w:type="pct"/>
                </w:tcPr>
                <w:p w14:paraId="52A75139"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外行开证、外银结汇：选择是否结汇，付钱给国内银行、贷款审批和管理</w:t>
                  </w:r>
                </w:p>
              </w:tc>
            </w:tr>
            <w:tr w:rsidR="006A7B88" w:rsidRPr="006A7B88" w14:paraId="29963E04" w14:textId="77777777" w:rsidTr="00CF1918">
              <w:tc>
                <w:tcPr>
                  <w:tcW w:w="392" w:type="pct"/>
                  <w:vAlign w:val="center"/>
                </w:tcPr>
                <w:p w14:paraId="7CF8965A"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3</w:t>
                  </w:r>
                </w:p>
              </w:tc>
              <w:tc>
                <w:tcPr>
                  <w:tcW w:w="896" w:type="pct"/>
                  <w:vAlign w:val="center"/>
                </w:tcPr>
                <w:p w14:paraId="67ACF234"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国内银行</w:t>
                  </w:r>
                </w:p>
              </w:tc>
              <w:tc>
                <w:tcPr>
                  <w:tcW w:w="3710" w:type="pct"/>
                </w:tcPr>
                <w:p w14:paraId="70D4AA4D"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内行通知、银行贷款管理、国内银行交单、国内银行结汇</w:t>
                  </w:r>
                </w:p>
              </w:tc>
            </w:tr>
            <w:tr w:rsidR="006A7B88" w:rsidRPr="006A7B88" w14:paraId="02A83A1B" w14:textId="77777777" w:rsidTr="00CF1918">
              <w:tc>
                <w:tcPr>
                  <w:tcW w:w="392" w:type="pct"/>
                  <w:vAlign w:val="center"/>
                </w:tcPr>
                <w:p w14:paraId="03D5E49E"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4</w:t>
                  </w:r>
                </w:p>
              </w:tc>
              <w:tc>
                <w:tcPr>
                  <w:tcW w:w="896" w:type="pct"/>
                  <w:vAlign w:val="center"/>
                </w:tcPr>
                <w:p w14:paraId="3FB0279D"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船运公司</w:t>
                  </w:r>
                </w:p>
              </w:tc>
              <w:tc>
                <w:tcPr>
                  <w:tcW w:w="3710" w:type="pct"/>
                </w:tcPr>
                <w:p w14:paraId="63EC7DF0"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装运管理、租船订舱审批、海运航线查询</w:t>
                  </w:r>
                </w:p>
              </w:tc>
            </w:tr>
            <w:tr w:rsidR="006A7B88" w:rsidRPr="006A7B88" w14:paraId="71777337" w14:textId="77777777" w:rsidTr="00CF1918">
              <w:tc>
                <w:tcPr>
                  <w:tcW w:w="392" w:type="pct"/>
                  <w:vAlign w:val="center"/>
                </w:tcPr>
                <w:p w14:paraId="0AC9D017"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5</w:t>
                  </w:r>
                </w:p>
              </w:tc>
              <w:tc>
                <w:tcPr>
                  <w:tcW w:w="896" w:type="pct"/>
                  <w:vAlign w:val="center"/>
                </w:tcPr>
                <w:p w14:paraId="7B40B142"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商检局</w:t>
                  </w:r>
                </w:p>
              </w:tc>
              <w:tc>
                <w:tcPr>
                  <w:tcW w:w="3710" w:type="pct"/>
                </w:tcPr>
                <w:p w14:paraId="7BDD3CEE"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报检审核、产地证审核</w:t>
                  </w:r>
                </w:p>
              </w:tc>
            </w:tr>
            <w:tr w:rsidR="006A7B88" w:rsidRPr="006A7B88" w14:paraId="2E869C9C" w14:textId="77777777" w:rsidTr="00CF1918">
              <w:tc>
                <w:tcPr>
                  <w:tcW w:w="392" w:type="pct"/>
                  <w:vAlign w:val="center"/>
                </w:tcPr>
                <w:p w14:paraId="0E8BEF75"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6</w:t>
                  </w:r>
                </w:p>
              </w:tc>
              <w:tc>
                <w:tcPr>
                  <w:tcW w:w="896" w:type="pct"/>
                  <w:vAlign w:val="center"/>
                </w:tcPr>
                <w:p w14:paraId="296E1354"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保险公司</w:t>
                  </w:r>
                </w:p>
              </w:tc>
              <w:tc>
                <w:tcPr>
                  <w:tcW w:w="3710" w:type="pct"/>
                </w:tcPr>
                <w:p w14:paraId="7EE83D5A"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保险审核</w:t>
                  </w:r>
                </w:p>
              </w:tc>
            </w:tr>
            <w:tr w:rsidR="006A7B88" w:rsidRPr="006A7B88" w14:paraId="562B07A9" w14:textId="77777777" w:rsidTr="00CF1918">
              <w:tc>
                <w:tcPr>
                  <w:tcW w:w="392" w:type="pct"/>
                  <w:vAlign w:val="center"/>
                </w:tcPr>
                <w:p w14:paraId="7D32CA56"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7</w:t>
                  </w:r>
                </w:p>
              </w:tc>
              <w:tc>
                <w:tcPr>
                  <w:tcW w:w="896" w:type="pct"/>
                  <w:vAlign w:val="center"/>
                </w:tcPr>
                <w:p w14:paraId="208931E4"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海关</w:t>
                  </w:r>
                </w:p>
              </w:tc>
              <w:tc>
                <w:tcPr>
                  <w:tcW w:w="3710" w:type="pct"/>
                </w:tcPr>
                <w:p w14:paraId="4A4BB9FD"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 xml:space="preserve">报关审核 </w:t>
                  </w:r>
                </w:p>
              </w:tc>
            </w:tr>
            <w:tr w:rsidR="006A7B88" w:rsidRPr="006A7B88" w14:paraId="62860DE0" w14:textId="77777777" w:rsidTr="00CF1918">
              <w:tc>
                <w:tcPr>
                  <w:tcW w:w="392" w:type="pct"/>
                  <w:vAlign w:val="center"/>
                </w:tcPr>
                <w:p w14:paraId="4BD1B5B0"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8</w:t>
                  </w:r>
                </w:p>
              </w:tc>
              <w:tc>
                <w:tcPr>
                  <w:tcW w:w="896" w:type="pct"/>
                  <w:vAlign w:val="center"/>
                </w:tcPr>
                <w:p w14:paraId="4733EBDE"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商务部</w:t>
                  </w:r>
                </w:p>
              </w:tc>
              <w:tc>
                <w:tcPr>
                  <w:tcW w:w="3710" w:type="pct"/>
                </w:tcPr>
                <w:p w14:paraId="2DEC6FB4"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许可证审核</w:t>
                  </w:r>
                </w:p>
              </w:tc>
            </w:tr>
            <w:tr w:rsidR="006A7B88" w:rsidRPr="006A7B88" w14:paraId="0BE9D6F2" w14:textId="77777777" w:rsidTr="00CF1918">
              <w:tc>
                <w:tcPr>
                  <w:tcW w:w="392" w:type="pct"/>
                  <w:vAlign w:val="center"/>
                </w:tcPr>
                <w:p w14:paraId="4BCF4123"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9</w:t>
                  </w:r>
                </w:p>
              </w:tc>
              <w:tc>
                <w:tcPr>
                  <w:tcW w:w="896" w:type="pct"/>
                  <w:vAlign w:val="center"/>
                </w:tcPr>
                <w:p w14:paraId="6902B1BB"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外国公司财务报表</w:t>
                  </w:r>
                </w:p>
              </w:tc>
              <w:tc>
                <w:tcPr>
                  <w:tcW w:w="3710" w:type="pct"/>
                </w:tcPr>
                <w:p w14:paraId="276940DB"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账户余额、办公费用、管理费用、销售金额、运输费、保险费、采购成本、进口海关税、贷款本金、贷款利息、仓库租金、未投保意外损失、弥补上年度亏损、税前利润、所得税、税后利润。</w:t>
                  </w:r>
                </w:p>
              </w:tc>
            </w:tr>
          </w:tbl>
          <w:p w14:paraId="24E7BD09" w14:textId="77777777" w:rsidR="006A7B88" w:rsidRPr="006A7B88" w:rsidRDefault="006A7B88" w:rsidP="00CF1918">
            <w:pPr>
              <w:pStyle w:val="2"/>
              <w:spacing w:before="0" w:after="0" w:line="240" w:lineRule="auto"/>
              <w:rPr>
                <w:rFonts w:ascii="仿宋" w:eastAsia="仿宋" w:hAnsi="仿宋" w:cs="宋体"/>
                <w:b w:val="0"/>
                <w:sz w:val="24"/>
                <w:szCs w:val="24"/>
              </w:rPr>
            </w:pPr>
            <w:bookmarkStart w:id="7" w:name="_Toc430096617"/>
            <w:r w:rsidRPr="006A7B88">
              <w:rPr>
                <w:rFonts w:ascii="仿宋" w:eastAsia="仿宋" w:hAnsi="仿宋" w:cs="宋体" w:hint="eastAsia"/>
                <w:b w:val="0"/>
                <w:sz w:val="24"/>
                <w:szCs w:val="24"/>
              </w:rPr>
              <w:t>2.</w:t>
            </w:r>
            <w:bookmarkEnd w:id="7"/>
            <w:r w:rsidRPr="006A7B88">
              <w:rPr>
                <w:rFonts w:ascii="仿宋" w:eastAsia="仿宋" w:hAnsi="仿宋" w:cs="宋体" w:hint="eastAsia"/>
                <w:b w:val="0"/>
                <w:sz w:val="24"/>
                <w:szCs w:val="24"/>
              </w:rPr>
              <w:t>3国内公司主要功能模块</w:t>
            </w:r>
          </w:p>
          <w:p w14:paraId="694BC1CE" w14:textId="77777777" w:rsidR="006A7B88" w:rsidRPr="006A7B88" w:rsidRDefault="006A7B88" w:rsidP="006A7B88">
            <w:pPr>
              <w:ind w:firstLineChars="150" w:firstLine="360"/>
              <w:rPr>
                <w:rFonts w:ascii="仿宋" w:eastAsia="仿宋" w:hAnsi="仿宋" w:cs="宋体"/>
                <w:kern w:val="0"/>
                <w:sz w:val="24"/>
              </w:rPr>
            </w:pPr>
            <w:r w:rsidRPr="006A7B88">
              <w:rPr>
                <w:rFonts w:ascii="仿宋" w:eastAsia="仿宋" w:hAnsi="仿宋" w:cs="宋体" w:hint="eastAsia"/>
                <w:kern w:val="0"/>
                <w:sz w:val="24"/>
              </w:rPr>
              <w:t>国内公司系统实现以下功能：国内外经济数据、订单选择、交易磋商、合同管理、信用证管理、备货管理、商业发票和装箱单、仓库管理、租船订舱、民间借贷、银行贷款、许可证管理、报检管理、原产地证书、投保管理、报关管理、装运管理、结汇管理</w:t>
            </w:r>
            <w:r w:rsidRPr="006A7B88">
              <w:rPr>
                <w:rFonts w:ascii="仿宋" w:eastAsia="仿宋" w:hAnsi="仿宋" w:cs="宋体" w:hint="eastAsia"/>
                <w:bCs/>
                <w:kern w:val="0"/>
                <w:sz w:val="24"/>
              </w:rPr>
              <w:t>、财务分析</w:t>
            </w:r>
            <w:r w:rsidRPr="006A7B88">
              <w:rPr>
                <w:rFonts w:ascii="仿宋" w:eastAsia="仿宋" w:hAnsi="仿宋" w:cs="宋体" w:hint="eastAsia"/>
                <w:kern w:val="0"/>
                <w:sz w:val="24"/>
              </w:rPr>
              <w:t>。</w:t>
            </w:r>
          </w:p>
          <w:p w14:paraId="1A56FD3D" w14:textId="77777777" w:rsidR="006A7B88" w:rsidRPr="006A7B88" w:rsidRDefault="006A7B88" w:rsidP="006A7B88">
            <w:pPr>
              <w:ind w:firstLineChars="200" w:firstLine="480"/>
              <w:rPr>
                <w:rFonts w:ascii="仿宋" w:eastAsia="仿宋" w:hAnsi="仿宋" w:cs="宋体"/>
                <w:sz w:val="24"/>
              </w:rPr>
            </w:pPr>
            <w:r w:rsidRPr="006A7B88">
              <w:rPr>
                <w:rFonts w:ascii="仿宋" w:eastAsia="仿宋" w:hAnsi="仿宋" w:cs="宋体" w:hint="eastAsia"/>
                <w:bCs/>
                <w:kern w:val="0"/>
                <w:sz w:val="24"/>
              </w:rPr>
              <w:t>主要功能模块如下：</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092"/>
              <w:gridCol w:w="4624"/>
            </w:tblGrid>
            <w:tr w:rsidR="006A7B88" w:rsidRPr="006A7B88" w14:paraId="010D8EC5" w14:textId="77777777" w:rsidTr="00CF1918">
              <w:tc>
                <w:tcPr>
                  <w:tcW w:w="386" w:type="pct"/>
                  <w:vAlign w:val="center"/>
                </w:tcPr>
                <w:p w14:paraId="163DDB3D"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序号</w:t>
                  </w:r>
                </w:p>
              </w:tc>
              <w:tc>
                <w:tcPr>
                  <w:tcW w:w="881" w:type="pct"/>
                  <w:vAlign w:val="center"/>
                </w:tcPr>
                <w:p w14:paraId="5E1070F9"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功能模块</w:t>
                  </w:r>
                </w:p>
              </w:tc>
              <w:tc>
                <w:tcPr>
                  <w:tcW w:w="3731" w:type="pct"/>
                  <w:vAlign w:val="center"/>
                </w:tcPr>
                <w:p w14:paraId="37CAFB0A"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技术要求</w:t>
                  </w:r>
                </w:p>
              </w:tc>
            </w:tr>
            <w:tr w:rsidR="006A7B88" w:rsidRPr="006A7B88" w14:paraId="40693B81" w14:textId="77777777" w:rsidTr="00CF1918">
              <w:tc>
                <w:tcPr>
                  <w:tcW w:w="386" w:type="pct"/>
                  <w:vAlign w:val="center"/>
                </w:tcPr>
                <w:p w14:paraId="002AD0C5"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1</w:t>
                  </w:r>
                </w:p>
              </w:tc>
              <w:tc>
                <w:tcPr>
                  <w:tcW w:w="881" w:type="pct"/>
                  <w:vAlign w:val="center"/>
                </w:tcPr>
                <w:p w14:paraId="0597C7B3"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交易方式</w:t>
                  </w:r>
                </w:p>
              </w:tc>
              <w:tc>
                <w:tcPr>
                  <w:tcW w:w="3731" w:type="pct"/>
                </w:tcPr>
                <w:p w14:paraId="2AD4CA7F"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选择的交易方式有：CIF、FOB、CFR。不管哪种交易方式，系统自动统计费用。</w:t>
                  </w:r>
                </w:p>
              </w:tc>
            </w:tr>
            <w:tr w:rsidR="006A7B88" w:rsidRPr="006A7B88" w14:paraId="26D6F69B" w14:textId="77777777" w:rsidTr="00CF1918">
              <w:tc>
                <w:tcPr>
                  <w:tcW w:w="386" w:type="pct"/>
                  <w:vAlign w:val="center"/>
                </w:tcPr>
                <w:p w14:paraId="201CA01A"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2</w:t>
                  </w:r>
                </w:p>
              </w:tc>
              <w:tc>
                <w:tcPr>
                  <w:tcW w:w="881" w:type="pct"/>
                  <w:vAlign w:val="center"/>
                </w:tcPr>
                <w:p w14:paraId="0536CFEE"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库存查询</w:t>
                  </w:r>
                </w:p>
              </w:tc>
              <w:tc>
                <w:tcPr>
                  <w:tcW w:w="3731" w:type="pct"/>
                </w:tcPr>
                <w:p w14:paraId="22D37FB5"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在备货之前，国内公司可以在“库存管理”模块查询是否有产品库存。</w:t>
                  </w:r>
                </w:p>
              </w:tc>
            </w:tr>
            <w:tr w:rsidR="006A7B88" w:rsidRPr="006A7B88" w14:paraId="60E946B6" w14:textId="77777777" w:rsidTr="00CF1918">
              <w:tc>
                <w:tcPr>
                  <w:tcW w:w="386" w:type="pct"/>
                  <w:vAlign w:val="center"/>
                </w:tcPr>
                <w:p w14:paraId="1FBF6676"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3</w:t>
                  </w:r>
                </w:p>
              </w:tc>
              <w:tc>
                <w:tcPr>
                  <w:tcW w:w="881" w:type="pct"/>
                  <w:vAlign w:val="center"/>
                </w:tcPr>
                <w:p w14:paraId="0CCA81A8"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备货管理</w:t>
                  </w:r>
                </w:p>
              </w:tc>
              <w:tc>
                <w:tcPr>
                  <w:tcW w:w="3731" w:type="pct"/>
                </w:tcPr>
                <w:p w14:paraId="4FDCB3C4"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备货数量大于或者等于合同的销售数量，才能填写发票。否则系统会提示继续备货，备货的时候如果现金不够，则必须向银行</w:t>
                  </w:r>
                  <w:r w:rsidRPr="006A7B88">
                    <w:rPr>
                      <w:rFonts w:ascii="仿宋" w:eastAsia="仿宋" w:hAnsi="仿宋" w:cs="宋体" w:hint="eastAsia"/>
                      <w:sz w:val="24"/>
                    </w:rPr>
                    <w:lastRenderedPageBreak/>
                    <w:t>贷款。如果备货的数量超过了合同数量，则必须租赁仓库。</w:t>
                  </w:r>
                </w:p>
              </w:tc>
            </w:tr>
            <w:tr w:rsidR="006A7B88" w:rsidRPr="006A7B88" w14:paraId="7456A455" w14:textId="77777777" w:rsidTr="00CF1918">
              <w:tc>
                <w:tcPr>
                  <w:tcW w:w="386" w:type="pct"/>
                  <w:vAlign w:val="center"/>
                </w:tcPr>
                <w:p w14:paraId="704A8C28"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lastRenderedPageBreak/>
                    <w:t>4</w:t>
                  </w:r>
                </w:p>
              </w:tc>
              <w:tc>
                <w:tcPr>
                  <w:tcW w:w="881" w:type="pct"/>
                  <w:vAlign w:val="center"/>
                </w:tcPr>
                <w:p w14:paraId="76EFC4C7"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仓库管理</w:t>
                  </w:r>
                </w:p>
              </w:tc>
              <w:tc>
                <w:tcPr>
                  <w:tcW w:w="3731" w:type="pct"/>
                </w:tcPr>
                <w:p w14:paraId="675CF602"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如果有库存产品，必须租赁仓库。如果租赁的仓库面积低于系统设定的最低值，则无法填写装箱单。填写的内容包括仓库租用时间、租用单价、租用面积、租用费用等。</w:t>
                  </w:r>
                </w:p>
              </w:tc>
            </w:tr>
            <w:tr w:rsidR="006A7B88" w:rsidRPr="006A7B88" w14:paraId="33DE6877" w14:textId="77777777" w:rsidTr="00CF1918">
              <w:tc>
                <w:tcPr>
                  <w:tcW w:w="386" w:type="pct"/>
                  <w:vAlign w:val="center"/>
                </w:tcPr>
                <w:p w14:paraId="3AEB4984"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5</w:t>
                  </w:r>
                </w:p>
              </w:tc>
              <w:tc>
                <w:tcPr>
                  <w:tcW w:w="881" w:type="pct"/>
                  <w:vAlign w:val="center"/>
                </w:tcPr>
                <w:p w14:paraId="6F701183"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订舱</w:t>
                  </w:r>
                </w:p>
              </w:tc>
              <w:tc>
                <w:tcPr>
                  <w:tcW w:w="3731" w:type="pct"/>
                </w:tcPr>
                <w:p w14:paraId="395CB026"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在填写订舱委托书的时候，如果订舱的时间已经过了装运期，则必须进行信用证改签并且得到外国公司同意后，才能保存并提交订舱委托书给船运公司。如果没有按时交货，产品将无法出口，产生损失。</w:t>
                  </w:r>
                </w:p>
              </w:tc>
            </w:tr>
            <w:tr w:rsidR="006A7B88" w:rsidRPr="006A7B88" w14:paraId="1B0224D1" w14:textId="77777777" w:rsidTr="00CF1918">
              <w:tc>
                <w:tcPr>
                  <w:tcW w:w="386" w:type="pct"/>
                  <w:vAlign w:val="center"/>
                </w:tcPr>
                <w:p w14:paraId="765A5BB8"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6</w:t>
                  </w:r>
                </w:p>
              </w:tc>
              <w:tc>
                <w:tcPr>
                  <w:tcW w:w="881" w:type="pct"/>
                  <w:vAlign w:val="center"/>
                </w:tcPr>
                <w:p w14:paraId="037D8E6B"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报检</w:t>
                  </w:r>
                </w:p>
              </w:tc>
              <w:tc>
                <w:tcPr>
                  <w:tcW w:w="3731" w:type="pct"/>
                </w:tcPr>
                <w:p w14:paraId="02CD59FE"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报检日期必须早于装运期，如果不能满足这个条件，则必须进行信用证改签并且得到外国公司同意后，才能保存并提交报检单给商检局审核。</w:t>
                  </w:r>
                </w:p>
              </w:tc>
            </w:tr>
            <w:tr w:rsidR="006A7B88" w:rsidRPr="006A7B88" w14:paraId="6698324A" w14:textId="77777777" w:rsidTr="00CF1918">
              <w:tc>
                <w:tcPr>
                  <w:tcW w:w="386" w:type="pct"/>
                  <w:vAlign w:val="center"/>
                </w:tcPr>
                <w:p w14:paraId="3C4B1A9A"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7</w:t>
                  </w:r>
                </w:p>
              </w:tc>
              <w:tc>
                <w:tcPr>
                  <w:tcW w:w="881" w:type="pct"/>
                  <w:vAlign w:val="center"/>
                </w:tcPr>
                <w:p w14:paraId="28486B06"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原产地证书</w:t>
                  </w:r>
                </w:p>
              </w:tc>
              <w:tc>
                <w:tcPr>
                  <w:tcW w:w="3731" w:type="pct"/>
                </w:tcPr>
                <w:p w14:paraId="7D3EA04A"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一般原产地或者惠普制必须早于装运期完成，如果不能满足这个条件，则必须进行信用证改签并且得到外国公司同意后，才能保存并提交一般原产地证书给商检局审核。</w:t>
                  </w:r>
                </w:p>
              </w:tc>
            </w:tr>
            <w:tr w:rsidR="006A7B88" w:rsidRPr="006A7B88" w14:paraId="799F59FC" w14:textId="77777777" w:rsidTr="00CF1918">
              <w:tc>
                <w:tcPr>
                  <w:tcW w:w="386" w:type="pct"/>
                  <w:vAlign w:val="center"/>
                </w:tcPr>
                <w:p w14:paraId="77CE2103"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8</w:t>
                  </w:r>
                </w:p>
              </w:tc>
              <w:tc>
                <w:tcPr>
                  <w:tcW w:w="881" w:type="pct"/>
                  <w:vAlign w:val="center"/>
                </w:tcPr>
                <w:p w14:paraId="39D57204"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报关管理</w:t>
                  </w:r>
                </w:p>
              </w:tc>
              <w:tc>
                <w:tcPr>
                  <w:tcW w:w="3731" w:type="pct"/>
                </w:tcPr>
                <w:p w14:paraId="4C83DC18"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报关时间必须早于装运期完成，如果不能满足这个条件，则必须进行信用证改签并且得到外国公司同意后，才能保存并提交报关单给海关审核。</w:t>
                  </w:r>
                </w:p>
              </w:tc>
            </w:tr>
            <w:tr w:rsidR="006A7B88" w:rsidRPr="006A7B88" w14:paraId="65D202B2" w14:textId="77777777" w:rsidTr="00CF1918">
              <w:tc>
                <w:tcPr>
                  <w:tcW w:w="386" w:type="pct"/>
                  <w:vAlign w:val="center"/>
                </w:tcPr>
                <w:p w14:paraId="714C0D82"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9</w:t>
                  </w:r>
                </w:p>
              </w:tc>
              <w:tc>
                <w:tcPr>
                  <w:tcW w:w="881" w:type="pct"/>
                  <w:vAlign w:val="center"/>
                </w:tcPr>
                <w:p w14:paraId="0DAF22E6"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结汇管理</w:t>
                  </w:r>
                </w:p>
              </w:tc>
              <w:tc>
                <w:tcPr>
                  <w:tcW w:w="3731" w:type="pct"/>
                </w:tcPr>
                <w:p w14:paraId="12DA8FF9"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结汇时间如果迟于装运期设定的时间，或者信用证过期，交易结果将作废，进而产生损失费和应收款。</w:t>
                  </w:r>
                </w:p>
              </w:tc>
            </w:tr>
            <w:tr w:rsidR="006A7B88" w:rsidRPr="006A7B88" w14:paraId="091D25C1" w14:textId="77777777" w:rsidTr="00CF1918">
              <w:tc>
                <w:tcPr>
                  <w:tcW w:w="386" w:type="pct"/>
                  <w:vAlign w:val="center"/>
                </w:tcPr>
                <w:p w14:paraId="44BE4C31"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10</w:t>
                  </w:r>
                </w:p>
              </w:tc>
              <w:tc>
                <w:tcPr>
                  <w:tcW w:w="881" w:type="pct"/>
                  <w:vAlign w:val="center"/>
                </w:tcPr>
                <w:p w14:paraId="537DD25C"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出口许可</w:t>
                  </w:r>
                </w:p>
              </w:tc>
              <w:tc>
                <w:tcPr>
                  <w:tcW w:w="3731" w:type="pct"/>
                </w:tcPr>
                <w:p w14:paraId="1CFBF61B"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向商务部填写出口许可单据。</w:t>
                  </w:r>
                </w:p>
              </w:tc>
            </w:tr>
            <w:tr w:rsidR="006A7B88" w:rsidRPr="006A7B88" w14:paraId="5A80A711" w14:textId="77777777" w:rsidTr="00CF1918">
              <w:tc>
                <w:tcPr>
                  <w:tcW w:w="386" w:type="pct"/>
                  <w:vAlign w:val="center"/>
                </w:tcPr>
                <w:p w14:paraId="3E3E1C94"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11</w:t>
                  </w:r>
                </w:p>
              </w:tc>
              <w:tc>
                <w:tcPr>
                  <w:tcW w:w="881" w:type="pct"/>
                  <w:vAlign w:val="center"/>
                </w:tcPr>
                <w:p w14:paraId="6FDB2DD5"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其他功能</w:t>
                  </w:r>
                </w:p>
              </w:tc>
              <w:tc>
                <w:tcPr>
                  <w:tcW w:w="3731" w:type="pct"/>
                </w:tcPr>
                <w:p w14:paraId="467A3CF0" w14:textId="77777777" w:rsidR="006A7B88" w:rsidRPr="006A7B88" w:rsidRDefault="006A7B88" w:rsidP="00CF1918">
                  <w:pPr>
                    <w:rPr>
                      <w:rFonts w:ascii="仿宋" w:eastAsia="仿宋" w:hAnsi="仿宋" w:cs="宋体"/>
                      <w:sz w:val="24"/>
                    </w:rPr>
                  </w:pPr>
                  <w:r w:rsidRPr="006A7B88">
                    <w:rPr>
                      <w:rFonts w:ascii="仿宋" w:eastAsia="仿宋" w:hAnsi="仿宋" w:hint="eastAsia"/>
                      <w:sz w:val="24"/>
                    </w:rPr>
                    <w:t>订单查询、国外合作地区、费用设置查询、超时间设置查询、竞赛评比及加减分规定查询、人民币汇率查询、包装材料查询、仓库费用查询、产品价格查询、航线查询、舱位查询、国内外经济数据查询、公告栏信息查询、商品采购价格变化影响因素报告、汇率变化影响因素报告、实战数据库按时间先后跑马灯</w:t>
                  </w:r>
                  <w:r w:rsidRPr="006A7B88">
                    <w:rPr>
                      <w:rFonts w:ascii="仿宋" w:eastAsia="仿宋" w:hAnsi="仿宋" w:cs="宋体" w:hint="eastAsia"/>
                      <w:sz w:val="24"/>
                    </w:rPr>
                    <w:t>、产品价格走势图、实时汇率走势图、进出口税走势图、航线运费走势图</w:t>
                  </w:r>
                  <w:r w:rsidRPr="006A7B88">
                    <w:rPr>
                      <w:rFonts w:ascii="仿宋" w:eastAsia="仿宋" w:hAnsi="仿宋" w:hint="eastAsia"/>
                      <w:sz w:val="24"/>
                    </w:rPr>
                    <w:t>。</w:t>
                  </w:r>
                </w:p>
              </w:tc>
            </w:tr>
            <w:tr w:rsidR="006A7B88" w:rsidRPr="006A7B88" w14:paraId="07130DDD" w14:textId="77777777" w:rsidTr="00CF1918">
              <w:tc>
                <w:tcPr>
                  <w:tcW w:w="386" w:type="pct"/>
                  <w:vAlign w:val="center"/>
                </w:tcPr>
                <w:p w14:paraId="149615E3"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12</w:t>
                  </w:r>
                </w:p>
              </w:tc>
              <w:tc>
                <w:tcPr>
                  <w:tcW w:w="881" w:type="pct"/>
                  <w:vAlign w:val="center"/>
                </w:tcPr>
                <w:p w14:paraId="5CD26FB8" w14:textId="77777777" w:rsidR="006A7B88" w:rsidRPr="006A7B88" w:rsidRDefault="006A7B88" w:rsidP="00CF1918">
                  <w:pPr>
                    <w:jc w:val="center"/>
                    <w:rPr>
                      <w:rFonts w:ascii="仿宋" w:eastAsia="仿宋" w:hAnsi="仿宋" w:cs="宋体"/>
                      <w:sz w:val="24"/>
                    </w:rPr>
                  </w:pPr>
                  <w:r w:rsidRPr="006A7B88">
                    <w:rPr>
                      <w:rFonts w:ascii="仿宋" w:eastAsia="仿宋" w:hAnsi="仿宋" w:cs="宋体" w:hint="eastAsia"/>
                      <w:sz w:val="24"/>
                    </w:rPr>
                    <w:t>财务综合分析</w:t>
                  </w:r>
                </w:p>
              </w:tc>
              <w:tc>
                <w:tcPr>
                  <w:tcW w:w="3731" w:type="pct"/>
                </w:tcPr>
                <w:p w14:paraId="1014BFE9" w14:textId="77777777" w:rsidR="006A7B88" w:rsidRPr="006A7B88" w:rsidRDefault="006A7B88" w:rsidP="00CF1918">
                  <w:pPr>
                    <w:rPr>
                      <w:rFonts w:ascii="仿宋" w:eastAsia="仿宋" w:hAnsi="仿宋" w:cs="宋体"/>
                      <w:sz w:val="24"/>
                    </w:rPr>
                  </w:pPr>
                  <w:r w:rsidRPr="006A7B88">
                    <w:rPr>
                      <w:rFonts w:ascii="仿宋" w:eastAsia="仿宋" w:hAnsi="仿宋" w:cs="宋体" w:hint="eastAsia"/>
                      <w:sz w:val="24"/>
                    </w:rPr>
                    <w:t>主要财务指标有：账户余额、管理费、磋商合同费、信用证费、发票/装箱费、订舱费、许可证费、运输费、报关费、报检费、投保费、证书费、改签费、结汇费、仓库</w:t>
                  </w:r>
                  <w:r w:rsidRPr="006A7B88">
                    <w:rPr>
                      <w:rFonts w:ascii="仿宋" w:eastAsia="仿宋" w:hAnsi="仿宋" w:cs="宋体" w:hint="eastAsia"/>
                      <w:sz w:val="24"/>
                    </w:rPr>
                    <w:lastRenderedPageBreak/>
                    <w:t>租金、贷款利息、损失费、办公费、贷款本金、采购成本、应收款、海关税、销售金额、弥补上年度亏算、汇率盈亏、税前利润、所得税、税后利润。</w:t>
                  </w:r>
                </w:p>
              </w:tc>
            </w:tr>
          </w:tbl>
          <w:p w14:paraId="1777A2A1" w14:textId="77777777" w:rsidR="006A7B88" w:rsidRPr="006A7B88" w:rsidRDefault="006A7B88" w:rsidP="00CF1918">
            <w:pPr>
              <w:pStyle w:val="1"/>
              <w:rPr>
                <w:rFonts w:ascii="仿宋" w:eastAsia="仿宋" w:hAnsi="仿宋" w:cs="宋体" w:hint="default"/>
                <w:b w:val="0"/>
                <w:sz w:val="24"/>
                <w:szCs w:val="24"/>
              </w:rPr>
            </w:pPr>
            <w:r w:rsidRPr="006A7B88">
              <w:rPr>
                <w:rFonts w:ascii="仿宋" w:eastAsia="仿宋" w:hAnsi="仿宋" w:cs="宋体"/>
                <w:sz w:val="24"/>
                <w:szCs w:val="24"/>
              </w:rPr>
              <w:lastRenderedPageBreak/>
              <w:t>3.数字贸易经营决策数据库</w:t>
            </w:r>
          </w:p>
          <w:p w14:paraId="4CD51C2D" w14:textId="77777777" w:rsidR="006A7B88" w:rsidRDefault="006A7B88" w:rsidP="006A7B88">
            <w:pPr>
              <w:ind w:firstLineChars="150" w:firstLine="360"/>
              <w:rPr>
                <w:rFonts w:ascii="仿宋" w:eastAsia="仿宋" w:hAnsi="仿宋" w:cs="宋体"/>
                <w:sz w:val="24"/>
              </w:rPr>
            </w:pPr>
            <w:r w:rsidRPr="006A7B88">
              <w:rPr>
                <w:rFonts w:ascii="仿宋" w:eastAsia="仿宋" w:hAnsi="仿宋" w:cs="宋体" w:hint="eastAsia"/>
                <w:sz w:val="24"/>
              </w:rPr>
              <w:t>提供2016年起数字贸易经营决策数据库，以及合同签订之日起，未来3年内（含3年）的数据服务（提供2016年至今的历史数据库：数据量不少于33000条；汇率变化模型数据量不少于3000条；光伏、钢材和新能源汽车价格变化模型数据量国内部分不少1500条，国外部分不少600条）。国外主要经济指数包括美国、欧盟、日本、韩国、东盟、俄罗斯、澳大利亚、南非、印度、巴西，其中欧美日的指数包括：①美国：失业和就业:劳工部统计的周申请失业金人数、失业率；人力资源服务公司ADP和预测机构穆迪统计的周就业岗位数和失业人数；就业市场状况指数(LMCI)月率、消费者信心指数月率、红皮书研究机构(RedbookResearch)统计的周美国连锁店销售年率、消费者物价指数(CPI)和生产者物价指数(PPI)月率、PCE物价指数月率； 制造业PMI指数月率、服务业PMI指数月率、经济增长率月率等 。②欧盟 ：失业率、ZEW经济景气指数、ZEW经济状况指数、IFO企业景气判断指数、零售销售月率和年率、德国商业景气指数、 Sentix投资者信心指数、工业产出月率、零售支出月率等。③日本：月度景气动向指数、国内企业物价指数(CGPI)、失业率、月度工矿业生产、月度核心机械订单、经常帐盈余、制造业信心指数等。④提供汇率、钢材、新能源汽车、光伏数据变化模型。</w:t>
            </w:r>
          </w:p>
          <w:p w14:paraId="46669D02" w14:textId="77777777" w:rsidR="006A7B88" w:rsidRPr="006A7B88" w:rsidRDefault="006A7B88" w:rsidP="006A7B88">
            <w:pPr>
              <w:rPr>
                <w:rFonts w:ascii="仿宋" w:eastAsia="仿宋" w:hAnsi="仿宋"/>
                <w:b/>
                <w:sz w:val="24"/>
              </w:rPr>
            </w:pPr>
            <w:r w:rsidRPr="006A7B88">
              <w:rPr>
                <w:rFonts w:ascii="仿宋" w:eastAsia="仿宋" w:hAnsi="仿宋" w:hint="eastAsia"/>
                <w:b/>
                <w:sz w:val="24"/>
              </w:rPr>
              <w:t>（四）试用要求</w:t>
            </w:r>
          </w:p>
          <w:p w14:paraId="63A6BBAD" w14:textId="2313F85E" w:rsidR="006A7B88" w:rsidRPr="006A7B88" w:rsidRDefault="006A7B88" w:rsidP="006A7B88">
            <w:pPr>
              <w:rPr>
                <w:rFonts w:ascii="仿宋" w:eastAsia="仿宋" w:hAnsi="仿宋"/>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570" w:type="dxa"/>
            <w:tcMar>
              <w:top w:w="0" w:type="dxa"/>
              <w:left w:w="10" w:type="dxa"/>
              <w:bottom w:w="0" w:type="dxa"/>
              <w:right w:w="10" w:type="dxa"/>
            </w:tcMar>
            <w:vAlign w:val="center"/>
          </w:tcPr>
          <w:p w14:paraId="0E7AC23E" w14:textId="77777777" w:rsidR="006A7B88" w:rsidRPr="006A7B88" w:rsidRDefault="006A7B88" w:rsidP="00CF1918">
            <w:pPr>
              <w:spacing w:line="276" w:lineRule="auto"/>
              <w:jc w:val="center"/>
              <w:rPr>
                <w:rFonts w:ascii="仿宋" w:eastAsia="仿宋" w:hAnsi="仿宋"/>
                <w:sz w:val="24"/>
              </w:rPr>
            </w:pPr>
            <w:r w:rsidRPr="006A7B88">
              <w:rPr>
                <w:rFonts w:ascii="仿宋" w:eastAsia="仿宋" w:hAnsi="仿宋" w:hint="eastAsia"/>
                <w:sz w:val="24"/>
              </w:rPr>
              <w:lastRenderedPageBreak/>
              <w:t>1</w:t>
            </w:r>
          </w:p>
        </w:tc>
      </w:tr>
    </w:tbl>
    <w:p w14:paraId="200BE75E" w14:textId="621F0291" w:rsidR="0060640E" w:rsidRPr="00DE6C54" w:rsidRDefault="0060640E" w:rsidP="006A4F09">
      <w:pPr>
        <w:spacing w:line="440" w:lineRule="exact"/>
        <w:rPr>
          <w:rFonts w:ascii="仿宋" w:eastAsia="仿宋" w:hAnsi="仿宋"/>
          <w:sz w:val="28"/>
          <w:szCs w:val="28"/>
        </w:rPr>
      </w:pPr>
    </w:p>
    <w:sectPr w:rsidR="0060640E" w:rsidRPr="00DE6C54" w:rsidSect="004A629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D0E23" w14:textId="77777777" w:rsidR="000C0C50" w:rsidRDefault="000C0C50">
      <w:r>
        <w:separator/>
      </w:r>
    </w:p>
  </w:endnote>
  <w:endnote w:type="continuationSeparator" w:id="0">
    <w:p w14:paraId="17C9AF65" w14:textId="77777777" w:rsidR="000C0C50" w:rsidRDefault="000C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741096" w:rsidRDefault="00741096">
    <w:pPr>
      <w:pStyle w:val="a7"/>
      <w:jc w:val="center"/>
    </w:pPr>
    <w:r>
      <w:fldChar w:fldCharType="begin"/>
    </w:r>
    <w:r>
      <w:rPr>
        <w:rStyle w:val="ad"/>
      </w:rPr>
      <w:instrText xml:space="preserve">PAGE  </w:instrText>
    </w:r>
    <w:r>
      <w:fldChar w:fldCharType="separate"/>
    </w:r>
    <w:r w:rsidR="00D876C1">
      <w:rPr>
        <w:rStyle w:val="ad"/>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DBAD9" w14:textId="77777777" w:rsidR="000C0C50" w:rsidRDefault="000C0C50">
      <w:r>
        <w:separator/>
      </w:r>
    </w:p>
  </w:footnote>
  <w:footnote w:type="continuationSeparator" w:id="0">
    <w:p w14:paraId="52D20AE0" w14:textId="77777777" w:rsidR="000C0C50" w:rsidRDefault="000C0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997329"/>
    <w:multiLevelType w:val="singleLevel"/>
    <w:tmpl w:val="A2997329"/>
    <w:lvl w:ilvl="0">
      <w:start w:val="1"/>
      <w:numFmt w:val="decimal"/>
      <w:lvlText w:val="%1."/>
      <w:lvlJc w:val="left"/>
      <w:pPr>
        <w:ind w:left="425" w:hanging="425"/>
      </w:pPr>
      <w:rPr>
        <w:rFonts w:hint="default"/>
      </w:rPr>
    </w:lvl>
  </w:abstractNum>
  <w:abstractNum w:abstractNumId="1">
    <w:nsid w:val="ADF61AFB"/>
    <w:multiLevelType w:val="singleLevel"/>
    <w:tmpl w:val="ADF61AFB"/>
    <w:lvl w:ilvl="0">
      <w:start w:val="1"/>
      <w:numFmt w:val="decimal"/>
      <w:lvlText w:val="%1."/>
      <w:lvlJc w:val="left"/>
      <w:pPr>
        <w:ind w:left="992" w:hanging="425"/>
      </w:pPr>
      <w:rPr>
        <w:rFonts w:hint="default"/>
      </w:rPr>
    </w:lvl>
  </w:abstractNum>
  <w:abstractNum w:abstractNumId="2">
    <w:nsid w:val="BFEB0775"/>
    <w:multiLevelType w:val="singleLevel"/>
    <w:tmpl w:val="BFEB0775"/>
    <w:lvl w:ilvl="0">
      <w:start w:val="1"/>
      <w:numFmt w:val="decimal"/>
      <w:suff w:val="nothing"/>
      <w:lvlText w:val="（%1）"/>
      <w:lvlJc w:val="left"/>
    </w:lvl>
  </w:abstractNum>
  <w:abstractNum w:abstractNumId="3">
    <w:nsid w:val="213E6FA0"/>
    <w:multiLevelType w:val="hybridMultilevel"/>
    <w:tmpl w:val="59EC44FE"/>
    <w:lvl w:ilvl="0" w:tplc="5EF8C4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081F5B"/>
    <w:multiLevelType w:val="hybridMultilevel"/>
    <w:tmpl w:val="A0CC4E0C"/>
    <w:lvl w:ilvl="0" w:tplc="2ACAFF94">
      <w:start w:val="1"/>
      <w:numFmt w:val="japaneseCounting"/>
      <w:lvlText w:val="%1、"/>
      <w:lvlJc w:val="left"/>
      <w:pPr>
        <w:ind w:left="720" w:hanging="720"/>
      </w:pPr>
      <w:rPr>
        <w:rFonts w:hint="default"/>
      </w:rPr>
    </w:lvl>
    <w:lvl w:ilvl="1" w:tplc="97564288">
      <w:start w:val="1"/>
      <w:numFmt w:val="japaneseCounting"/>
      <w:lvlText w:val="（%2）"/>
      <w:lvlJc w:val="left"/>
      <w:pPr>
        <w:ind w:left="1185" w:hanging="76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C775AC"/>
    <w:multiLevelType w:val="multilevel"/>
    <w:tmpl w:val="25C775AC"/>
    <w:lvl w:ilvl="0">
      <w:start w:val="1"/>
      <w:numFmt w:val="japaneseCounting"/>
      <w:lvlText w:val="（%1）"/>
      <w:lvlJc w:val="left"/>
      <w:pPr>
        <w:tabs>
          <w:tab w:val="left" w:pos="1080"/>
        </w:tabs>
        <w:ind w:left="1080" w:hanging="10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3B847A43"/>
    <w:multiLevelType w:val="multilevel"/>
    <w:tmpl w:val="3B847A4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4A5881B2"/>
    <w:multiLevelType w:val="singleLevel"/>
    <w:tmpl w:val="DB363E80"/>
    <w:lvl w:ilvl="0">
      <w:start w:val="1"/>
      <w:numFmt w:val="decimal"/>
      <w:lvlText w:val="%1、"/>
      <w:lvlJc w:val="left"/>
      <w:pPr>
        <w:ind w:left="708" w:hanging="425"/>
      </w:pPr>
      <w:rPr>
        <w:rFonts w:ascii="仿宋" w:eastAsia="仿宋" w:hAnsi="仿宋" w:cs="宋体"/>
      </w:rPr>
    </w:lvl>
  </w:abstractNum>
  <w:abstractNum w:abstractNumId="8">
    <w:nsid w:val="4F8852B8"/>
    <w:multiLevelType w:val="hybridMultilevel"/>
    <w:tmpl w:val="C54CA336"/>
    <w:lvl w:ilvl="0" w:tplc="8A5C90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A52C99"/>
    <w:multiLevelType w:val="singleLevel"/>
    <w:tmpl w:val="56A52C99"/>
    <w:lvl w:ilvl="0">
      <w:start w:val="1"/>
      <w:numFmt w:val="decimal"/>
      <w:lvlText w:val="%1."/>
      <w:lvlJc w:val="left"/>
      <w:pPr>
        <w:ind w:left="425" w:hanging="425"/>
      </w:pPr>
      <w:rPr>
        <w:rFonts w:hint="default"/>
      </w:rPr>
    </w:lvl>
  </w:abstractNum>
  <w:num w:numId="1">
    <w:abstractNumId w:val="1"/>
  </w:num>
  <w:num w:numId="2">
    <w:abstractNumId w:val="7"/>
  </w:num>
  <w:num w:numId="3">
    <w:abstractNumId w:val="0"/>
  </w:num>
  <w:num w:numId="4">
    <w:abstractNumId w:val="8"/>
  </w:num>
  <w:num w:numId="5">
    <w:abstractNumId w:val="5"/>
  </w:num>
  <w:num w:numId="6">
    <w:abstractNumId w:val="2"/>
  </w:num>
  <w:num w:numId="7">
    <w:abstractNumId w:val="9"/>
  </w:num>
  <w:num w:numId="8">
    <w:abstractNumId w:val="6"/>
  </w:num>
  <w:num w:numId="9">
    <w:abstractNumId w:val="4"/>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05E"/>
    <w:rsid w:val="00045903"/>
    <w:rsid w:val="00047E52"/>
    <w:rsid w:val="00050634"/>
    <w:rsid w:val="00065747"/>
    <w:rsid w:val="0006639C"/>
    <w:rsid w:val="00066CA9"/>
    <w:rsid w:val="000842D4"/>
    <w:rsid w:val="000965BE"/>
    <w:rsid w:val="000B1231"/>
    <w:rsid w:val="000B144B"/>
    <w:rsid w:val="000B4E5F"/>
    <w:rsid w:val="000B6946"/>
    <w:rsid w:val="000C0C50"/>
    <w:rsid w:val="000D0C74"/>
    <w:rsid w:val="000D0DE4"/>
    <w:rsid w:val="000D2F7B"/>
    <w:rsid w:val="000D4BD3"/>
    <w:rsid w:val="001077AB"/>
    <w:rsid w:val="00114239"/>
    <w:rsid w:val="00114FE7"/>
    <w:rsid w:val="00117EAC"/>
    <w:rsid w:val="00123DCD"/>
    <w:rsid w:val="0012403A"/>
    <w:rsid w:val="001302F5"/>
    <w:rsid w:val="001563C0"/>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124D1"/>
    <w:rsid w:val="00221816"/>
    <w:rsid w:val="002228FD"/>
    <w:rsid w:val="002235CC"/>
    <w:rsid w:val="00226A47"/>
    <w:rsid w:val="00246644"/>
    <w:rsid w:val="00247D33"/>
    <w:rsid w:val="002526D5"/>
    <w:rsid w:val="00271FFB"/>
    <w:rsid w:val="00277575"/>
    <w:rsid w:val="002945A7"/>
    <w:rsid w:val="002971EA"/>
    <w:rsid w:val="002A01CF"/>
    <w:rsid w:val="002B161E"/>
    <w:rsid w:val="002B4678"/>
    <w:rsid w:val="002C143B"/>
    <w:rsid w:val="002C4E9A"/>
    <w:rsid w:val="002D626D"/>
    <w:rsid w:val="002F45AC"/>
    <w:rsid w:val="00301FAF"/>
    <w:rsid w:val="0030406B"/>
    <w:rsid w:val="0031054F"/>
    <w:rsid w:val="00321140"/>
    <w:rsid w:val="0033058D"/>
    <w:rsid w:val="0034212A"/>
    <w:rsid w:val="00342B58"/>
    <w:rsid w:val="00351B0A"/>
    <w:rsid w:val="003525AA"/>
    <w:rsid w:val="00355DF6"/>
    <w:rsid w:val="00361476"/>
    <w:rsid w:val="00366BF0"/>
    <w:rsid w:val="003841B7"/>
    <w:rsid w:val="00384935"/>
    <w:rsid w:val="003A18DA"/>
    <w:rsid w:val="003B15DF"/>
    <w:rsid w:val="003B23BA"/>
    <w:rsid w:val="003B3134"/>
    <w:rsid w:val="003B359A"/>
    <w:rsid w:val="003B6A27"/>
    <w:rsid w:val="003B7AB5"/>
    <w:rsid w:val="003C14A7"/>
    <w:rsid w:val="003C62D3"/>
    <w:rsid w:val="003E1B01"/>
    <w:rsid w:val="003E3E7D"/>
    <w:rsid w:val="003E3EF3"/>
    <w:rsid w:val="003E5B6D"/>
    <w:rsid w:val="003E6258"/>
    <w:rsid w:val="003E6CF6"/>
    <w:rsid w:val="003F4286"/>
    <w:rsid w:val="0040438F"/>
    <w:rsid w:val="004160AC"/>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50240F"/>
    <w:rsid w:val="005200E7"/>
    <w:rsid w:val="00520279"/>
    <w:rsid w:val="00524156"/>
    <w:rsid w:val="0053248C"/>
    <w:rsid w:val="00537D8E"/>
    <w:rsid w:val="005421CD"/>
    <w:rsid w:val="00546430"/>
    <w:rsid w:val="00546565"/>
    <w:rsid w:val="00546690"/>
    <w:rsid w:val="00555E00"/>
    <w:rsid w:val="00556B28"/>
    <w:rsid w:val="005576D6"/>
    <w:rsid w:val="00563F03"/>
    <w:rsid w:val="005646E9"/>
    <w:rsid w:val="00564D26"/>
    <w:rsid w:val="005668B5"/>
    <w:rsid w:val="005671CB"/>
    <w:rsid w:val="00572E44"/>
    <w:rsid w:val="0058312D"/>
    <w:rsid w:val="00590554"/>
    <w:rsid w:val="005905A5"/>
    <w:rsid w:val="0059210B"/>
    <w:rsid w:val="005A28AF"/>
    <w:rsid w:val="005A5B8C"/>
    <w:rsid w:val="005B09F5"/>
    <w:rsid w:val="005B5060"/>
    <w:rsid w:val="005D0E19"/>
    <w:rsid w:val="005D1422"/>
    <w:rsid w:val="005E051C"/>
    <w:rsid w:val="005E146D"/>
    <w:rsid w:val="005E372E"/>
    <w:rsid w:val="005E42CC"/>
    <w:rsid w:val="005F0148"/>
    <w:rsid w:val="005F0218"/>
    <w:rsid w:val="005F6FE2"/>
    <w:rsid w:val="0060640E"/>
    <w:rsid w:val="0062652D"/>
    <w:rsid w:val="006322B9"/>
    <w:rsid w:val="0063370E"/>
    <w:rsid w:val="00633B87"/>
    <w:rsid w:val="00636D59"/>
    <w:rsid w:val="00645A32"/>
    <w:rsid w:val="00646473"/>
    <w:rsid w:val="0065231A"/>
    <w:rsid w:val="0066559B"/>
    <w:rsid w:val="00671322"/>
    <w:rsid w:val="00674FAA"/>
    <w:rsid w:val="0068541A"/>
    <w:rsid w:val="006A4F09"/>
    <w:rsid w:val="006A7B88"/>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7695"/>
    <w:rsid w:val="00741096"/>
    <w:rsid w:val="007431F5"/>
    <w:rsid w:val="00745323"/>
    <w:rsid w:val="007478B1"/>
    <w:rsid w:val="00756F0C"/>
    <w:rsid w:val="00761A31"/>
    <w:rsid w:val="0078286E"/>
    <w:rsid w:val="0079292F"/>
    <w:rsid w:val="00796544"/>
    <w:rsid w:val="00797634"/>
    <w:rsid w:val="007A38EA"/>
    <w:rsid w:val="007B0E05"/>
    <w:rsid w:val="007B2401"/>
    <w:rsid w:val="007B4D33"/>
    <w:rsid w:val="007B63D2"/>
    <w:rsid w:val="007B6C97"/>
    <w:rsid w:val="007B6F3A"/>
    <w:rsid w:val="007C5EFD"/>
    <w:rsid w:val="007E2C3D"/>
    <w:rsid w:val="007E5661"/>
    <w:rsid w:val="007F2E1F"/>
    <w:rsid w:val="007F462B"/>
    <w:rsid w:val="00807851"/>
    <w:rsid w:val="00814E61"/>
    <w:rsid w:val="008242EF"/>
    <w:rsid w:val="00826170"/>
    <w:rsid w:val="008369B8"/>
    <w:rsid w:val="00847C6E"/>
    <w:rsid w:val="00861E26"/>
    <w:rsid w:val="00870FA7"/>
    <w:rsid w:val="00875885"/>
    <w:rsid w:val="008903D7"/>
    <w:rsid w:val="00895EE5"/>
    <w:rsid w:val="008A3CCD"/>
    <w:rsid w:val="008B7BCC"/>
    <w:rsid w:val="008C1AB1"/>
    <w:rsid w:val="008C35D0"/>
    <w:rsid w:val="008D1675"/>
    <w:rsid w:val="008D632A"/>
    <w:rsid w:val="008E3FA3"/>
    <w:rsid w:val="008E557E"/>
    <w:rsid w:val="008F10B5"/>
    <w:rsid w:val="008F202B"/>
    <w:rsid w:val="008F7FD9"/>
    <w:rsid w:val="0090017E"/>
    <w:rsid w:val="00900358"/>
    <w:rsid w:val="00900B50"/>
    <w:rsid w:val="0091333C"/>
    <w:rsid w:val="00922BC2"/>
    <w:rsid w:val="00922BEC"/>
    <w:rsid w:val="00925AD0"/>
    <w:rsid w:val="009262C9"/>
    <w:rsid w:val="00944FA3"/>
    <w:rsid w:val="00950705"/>
    <w:rsid w:val="00974553"/>
    <w:rsid w:val="00986207"/>
    <w:rsid w:val="00994CAF"/>
    <w:rsid w:val="00996423"/>
    <w:rsid w:val="009B098F"/>
    <w:rsid w:val="009C28F1"/>
    <w:rsid w:val="009D5478"/>
    <w:rsid w:val="009D6498"/>
    <w:rsid w:val="009D7C7E"/>
    <w:rsid w:val="009E1BC5"/>
    <w:rsid w:val="009E2FF8"/>
    <w:rsid w:val="009E3433"/>
    <w:rsid w:val="009E4092"/>
    <w:rsid w:val="009E59E0"/>
    <w:rsid w:val="009E7426"/>
    <w:rsid w:val="009F602F"/>
    <w:rsid w:val="00A00E4D"/>
    <w:rsid w:val="00A01FE1"/>
    <w:rsid w:val="00A215E4"/>
    <w:rsid w:val="00A33677"/>
    <w:rsid w:val="00A33F78"/>
    <w:rsid w:val="00A52C1C"/>
    <w:rsid w:val="00A60819"/>
    <w:rsid w:val="00A63413"/>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B6169"/>
    <w:rsid w:val="00BC22A1"/>
    <w:rsid w:val="00BC2926"/>
    <w:rsid w:val="00BC6B23"/>
    <w:rsid w:val="00BD5B96"/>
    <w:rsid w:val="00BE4059"/>
    <w:rsid w:val="00BE4119"/>
    <w:rsid w:val="00BF1EB8"/>
    <w:rsid w:val="00C0226D"/>
    <w:rsid w:val="00C05651"/>
    <w:rsid w:val="00C07F71"/>
    <w:rsid w:val="00C15407"/>
    <w:rsid w:val="00C20867"/>
    <w:rsid w:val="00C21ECF"/>
    <w:rsid w:val="00C35E24"/>
    <w:rsid w:val="00C37B0C"/>
    <w:rsid w:val="00C53C28"/>
    <w:rsid w:val="00C60263"/>
    <w:rsid w:val="00C61CAA"/>
    <w:rsid w:val="00C84762"/>
    <w:rsid w:val="00CA2223"/>
    <w:rsid w:val="00CA459F"/>
    <w:rsid w:val="00CB1125"/>
    <w:rsid w:val="00CB36F1"/>
    <w:rsid w:val="00CB7C42"/>
    <w:rsid w:val="00D00D3F"/>
    <w:rsid w:val="00D02B78"/>
    <w:rsid w:val="00D03CAF"/>
    <w:rsid w:val="00D120DC"/>
    <w:rsid w:val="00D13036"/>
    <w:rsid w:val="00D16286"/>
    <w:rsid w:val="00D36796"/>
    <w:rsid w:val="00D42D9A"/>
    <w:rsid w:val="00D44097"/>
    <w:rsid w:val="00D52C01"/>
    <w:rsid w:val="00D52D20"/>
    <w:rsid w:val="00D650C1"/>
    <w:rsid w:val="00D679BF"/>
    <w:rsid w:val="00D702B7"/>
    <w:rsid w:val="00D81800"/>
    <w:rsid w:val="00D83723"/>
    <w:rsid w:val="00D8732E"/>
    <w:rsid w:val="00D876C1"/>
    <w:rsid w:val="00D94124"/>
    <w:rsid w:val="00D94815"/>
    <w:rsid w:val="00D94B0B"/>
    <w:rsid w:val="00DA0505"/>
    <w:rsid w:val="00DA69C1"/>
    <w:rsid w:val="00DB6DD0"/>
    <w:rsid w:val="00DC08E2"/>
    <w:rsid w:val="00DC7401"/>
    <w:rsid w:val="00DD1632"/>
    <w:rsid w:val="00DD4DF1"/>
    <w:rsid w:val="00DE154A"/>
    <w:rsid w:val="00DE2A1D"/>
    <w:rsid w:val="00DE6C54"/>
    <w:rsid w:val="00E06D74"/>
    <w:rsid w:val="00E1010D"/>
    <w:rsid w:val="00E375AA"/>
    <w:rsid w:val="00E438C6"/>
    <w:rsid w:val="00E63BEC"/>
    <w:rsid w:val="00E71907"/>
    <w:rsid w:val="00E71F0D"/>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61789"/>
    <w:rsid w:val="00F70016"/>
    <w:rsid w:val="00F705AC"/>
    <w:rsid w:val="00F76319"/>
    <w:rsid w:val="00F822D7"/>
    <w:rsid w:val="00F83877"/>
    <w:rsid w:val="00F86EA9"/>
    <w:rsid w:val="00FB3281"/>
    <w:rsid w:val="00FB6E32"/>
    <w:rsid w:val="00FD7714"/>
    <w:rsid w:val="00FE58FC"/>
    <w:rsid w:val="00FF156D"/>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iPriority="99" w:unhideWhenUsed="0"/>
    <w:lsdException w:name="Body Text First Indent 2" w:uiPriority="99" w:qFormat="1"/>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 w:type="paragraph" w:styleId="af4">
    <w:name w:val="Body Text First Indent"/>
    <w:basedOn w:val="a4"/>
    <w:link w:val="Char9"/>
    <w:uiPriority w:val="99"/>
    <w:unhideWhenUsed/>
    <w:rsid w:val="00796544"/>
    <w:pPr>
      <w:autoSpaceDE/>
      <w:autoSpaceDN/>
      <w:spacing w:after="120"/>
      <w:ind w:firstLineChars="100" w:firstLine="420"/>
      <w:jc w:val="both"/>
    </w:pPr>
    <w:rPr>
      <w:rFonts w:ascii="Times New Roman" w:hAnsi="Times New Roman" w:cs="Times New Roman"/>
      <w:kern w:val="2"/>
      <w:sz w:val="21"/>
      <w:lang w:val="en-US" w:bidi="ar-SA"/>
    </w:rPr>
  </w:style>
  <w:style w:type="character" w:customStyle="1" w:styleId="Char9">
    <w:name w:val="正文首行缩进 Char"/>
    <w:basedOn w:val="Char0"/>
    <w:link w:val="af4"/>
    <w:uiPriority w:val="99"/>
    <w:rsid w:val="00796544"/>
    <w:rPr>
      <w:rFonts w:ascii="宋体" w:hAnsi="宋体" w:cs="宋体"/>
      <w:kern w:val="2"/>
      <w:sz w:val="21"/>
      <w:szCs w:val="24"/>
      <w:lang w:val="zh-CN" w:bidi="zh-CN"/>
    </w:rPr>
  </w:style>
  <w:style w:type="paragraph" w:styleId="af5">
    <w:name w:val="Body Text Indent"/>
    <w:basedOn w:val="a"/>
    <w:link w:val="Chara"/>
    <w:semiHidden/>
    <w:unhideWhenUsed/>
    <w:rsid w:val="008D1675"/>
    <w:pPr>
      <w:spacing w:after="120"/>
      <w:ind w:leftChars="200" w:left="420"/>
    </w:pPr>
  </w:style>
  <w:style w:type="character" w:customStyle="1" w:styleId="Chara">
    <w:name w:val="正文文本缩进 Char"/>
    <w:basedOn w:val="a0"/>
    <w:link w:val="af5"/>
    <w:semiHidden/>
    <w:rsid w:val="008D1675"/>
    <w:rPr>
      <w:rFonts w:ascii="Calibri" w:hAnsi="Calibri"/>
      <w:kern w:val="2"/>
      <w:sz w:val="21"/>
      <w:szCs w:val="24"/>
    </w:rPr>
  </w:style>
  <w:style w:type="paragraph" w:styleId="21">
    <w:name w:val="Body Text First Indent 2"/>
    <w:basedOn w:val="af5"/>
    <w:link w:val="2Char1"/>
    <w:uiPriority w:val="99"/>
    <w:semiHidden/>
    <w:unhideWhenUsed/>
    <w:qFormat/>
    <w:rsid w:val="008D1675"/>
    <w:pPr>
      <w:ind w:firstLineChars="200" w:firstLine="420"/>
    </w:pPr>
    <w:rPr>
      <w:rFonts w:ascii="Times New Roman" w:hAnsi="Times New Roman"/>
    </w:rPr>
  </w:style>
  <w:style w:type="character" w:customStyle="1" w:styleId="2Char1">
    <w:name w:val="正文首行缩进 2 Char"/>
    <w:basedOn w:val="Chara"/>
    <w:link w:val="21"/>
    <w:uiPriority w:val="99"/>
    <w:semiHidden/>
    <w:rsid w:val="008D1675"/>
    <w:rPr>
      <w:rFonts w:ascii="Calibri" w:hAnsi="Calibri"/>
      <w:kern w:val="2"/>
      <w:sz w:val="21"/>
      <w:szCs w:val="24"/>
    </w:rPr>
  </w:style>
  <w:style w:type="paragraph" w:styleId="af6">
    <w:name w:val="Subtitle"/>
    <w:basedOn w:val="a"/>
    <w:next w:val="a"/>
    <w:link w:val="Charb"/>
    <w:qFormat/>
    <w:rsid w:val="00226A47"/>
    <w:pPr>
      <w:spacing w:before="240" w:after="60" w:line="312" w:lineRule="auto"/>
      <w:jc w:val="left"/>
      <w:outlineLvl w:val="1"/>
    </w:pPr>
    <w:rPr>
      <w:rFonts w:ascii="Calibri Light" w:hAnsi="Calibri Light"/>
      <w:b/>
      <w:bCs/>
      <w:kern w:val="28"/>
      <w:sz w:val="28"/>
      <w:szCs w:val="32"/>
    </w:rPr>
  </w:style>
  <w:style w:type="character" w:customStyle="1" w:styleId="Charb">
    <w:name w:val="副标题 Char"/>
    <w:basedOn w:val="a0"/>
    <w:link w:val="af6"/>
    <w:rsid w:val="00226A47"/>
    <w:rPr>
      <w:rFonts w:ascii="Calibri Light" w:hAnsi="Calibri Light"/>
      <w:b/>
      <w:bCs/>
      <w:kern w:val="28"/>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iPriority="99" w:unhideWhenUsed="0"/>
    <w:lsdException w:name="Body Text First Indent 2" w:uiPriority="99" w:qFormat="1"/>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 w:type="paragraph" w:styleId="af4">
    <w:name w:val="Body Text First Indent"/>
    <w:basedOn w:val="a4"/>
    <w:link w:val="Char9"/>
    <w:uiPriority w:val="99"/>
    <w:unhideWhenUsed/>
    <w:rsid w:val="00796544"/>
    <w:pPr>
      <w:autoSpaceDE/>
      <w:autoSpaceDN/>
      <w:spacing w:after="120"/>
      <w:ind w:firstLineChars="100" w:firstLine="420"/>
      <w:jc w:val="both"/>
    </w:pPr>
    <w:rPr>
      <w:rFonts w:ascii="Times New Roman" w:hAnsi="Times New Roman" w:cs="Times New Roman"/>
      <w:kern w:val="2"/>
      <w:sz w:val="21"/>
      <w:lang w:val="en-US" w:bidi="ar-SA"/>
    </w:rPr>
  </w:style>
  <w:style w:type="character" w:customStyle="1" w:styleId="Char9">
    <w:name w:val="正文首行缩进 Char"/>
    <w:basedOn w:val="Char0"/>
    <w:link w:val="af4"/>
    <w:uiPriority w:val="99"/>
    <w:rsid w:val="00796544"/>
    <w:rPr>
      <w:rFonts w:ascii="宋体" w:hAnsi="宋体" w:cs="宋体"/>
      <w:kern w:val="2"/>
      <w:sz w:val="21"/>
      <w:szCs w:val="24"/>
      <w:lang w:val="zh-CN" w:bidi="zh-CN"/>
    </w:rPr>
  </w:style>
  <w:style w:type="paragraph" w:styleId="af5">
    <w:name w:val="Body Text Indent"/>
    <w:basedOn w:val="a"/>
    <w:link w:val="Chara"/>
    <w:semiHidden/>
    <w:unhideWhenUsed/>
    <w:rsid w:val="008D1675"/>
    <w:pPr>
      <w:spacing w:after="120"/>
      <w:ind w:leftChars="200" w:left="420"/>
    </w:pPr>
  </w:style>
  <w:style w:type="character" w:customStyle="1" w:styleId="Chara">
    <w:name w:val="正文文本缩进 Char"/>
    <w:basedOn w:val="a0"/>
    <w:link w:val="af5"/>
    <w:semiHidden/>
    <w:rsid w:val="008D1675"/>
    <w:rPr>
      <w:rFonts w:ascii="Calibri" w:hAnsi="Calibri"/>
      <w:kern w:val="2"/>
      <w:sz w:val="21"/>
      <w:szCs w:val="24"/>
    </w:rPr>
  </w:style>
  <w:style w:type="paragraph" w:styleId="21">
    <w:name w:val="Body Text First Indent 2"/>
    <w:basedOn w:val="af5"/>
    <w:link w:val="2Char1"/>
    <w:uiPriority w:val="99"/>
    <w:semiHidden/>
    <w:unhideWhenUsed/>
    <w:qFormat/>
    <w:rsid w:val="008D1675"/>
    <w:pPr>
      <w:ind w:firstLineChars="200" w:firstLine="420"/>
    </w:pPr>
    <w:rPr>
      <w:rFonts w:ascii="Times New Roman" w:hAnsi="Times New Roman"/>
    </w:rPr>
  </w:style>
  <w:style w:type="character" w:customStyle="1" w:styleId="2Char1">
    <w:name w:val="正文首行缩进 2 Char"/>
    <w:basedOn w:val="Chara"/>
    <w:link w:val="21"/>
    <w:uiPriority w:val="99"/>
    <w:semiHidden/>
    <w:rsid w:val="008D1675"/>
    <w:rPr>
      <w:rFonts w:ascii="Calibri" w:hAnsi="Calibri"/>
      <w:kern w:val="2"/>
      <w:sz w:val="21"/>
      <w:szCs w:val="24"/>
    </w:rPr>
  </w:style>
  <w:style w:type="paragraph" w:styleId="af6">
    <w:name w:val="Subtitle"/>
    <w:basedOn w:val="a"/>
    <w:next w:val="a"/>
    <w:link w:val="Charb"/>
    <w:qFormat/>
    <w:rsid w:val="00226A47"/>
    <w:pPr>
      <w:spacing w:before="240" w:after="60" w:line="312" w:lineRule="auto"/>
      <w:jc w:val="left"/>
      <w:outlineLvl w:val="1"/>
    </w:pPr>
    <w:rPr>
      <w:rFonts w:ascii="Calibri Light" w:hAnsi="Calibri Light"/>
      <w:b/>
      <w:bCs/>
      <w:kern w:val="28"/>
      <w:sz w:val="28"/>
      <w:szCs w:val="32"/>
    </w:rPr>
  </w:style>
  <w:style w:type="character" w:customStyle="1" w:styleId="Charb">
    <w:name w:val="副标题 Char"/>
    <w:basedOn w:val="a0"/>
    <w:link w:val="af6"/>
    <w:rsid w:val="00226A47"/>
    <w:rPr>
      <w:rFonts w:ascii="Calibri Light" w:hAnsi="Calibri Light"/>
      <w:b/>
      <w:bCs/>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1523395814">
      <w:bodyDiv w:val="1"/>
      <w:marLeft w:val="0"/>
      <w:marRight w:val="0"/>
      <w:marTop w:val="0"/>
      <w:marBottom w:val="0"/>
      <w:divBdr>
        <w:top w:val="none" w:sz="0" w:space="0" w:color="auto"/>
        <w:left w:val="none" w:sz="0" w:space="0" w:color="auto"/>
        <w:bottom w:val="none" w:sz="0" w:space="0" w:color="auto"/>
        <w:right w:val="none" w:sz="0" w:space="0" w:color="auto"/>
      </w:divBdr>
    </w:div>
    <w:div w:id="1851791535">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32F8F9-5A50-486F-B5FE-99E25CAC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11</Pages>
  <Words>1116</Words>
  <Characters>6364</Characters>
  <Application>Microsoft Office Word</Application>
  <DocSecurity>0</DocSecurity>
  <Lines>53</Lines>
  <Paragraphs>14</Paragraphs>
  <ScaleCrop>false</ScaleCrop>
  <Company>CHINA</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84</cp:revision>
  <cp:lastPrinted>2020-08-18T02:33:00Z</cp:lastPrinted>
  <dcterms:created xsi:type="dcterms:W3CDTF">2022-09-15T06:00:00Z</dcterms:created>
  <dcterms:modified xsi:type="dcterms:W3CDTF">2023-11-17T03:15:00Z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